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D4ED8"/>
          <w:sz w:val="18"/>
          <w:szCs w:val="18"/>
        </w:rPr>
        <w:t xml:space="preserve">ACTAS DE REPLANTEO Y DE RECEPCIÓN</w:t>
      </w:r>
    </w:p>
    <w:p>
      <w:pPr>
        <w:pStyle w:val="Title"/>
        <w:spacing w:after="120"/>
      </w:pPr>
      <w:r>
        <w:rPr>
          <w:b/>
          <w:bCs/>
          <w:color w:val="0F172A"/>
          <w:sz w:val="40"/>
          <w:szCs w:val="40"/>
        </w:rPr>
        <w:t xml:space="preserve">Recepción con dos reservas de un edificio de 14 viviendas</w:t>
      </w:r>
    </w:p>
    <w:p>
      <w:pPr>
        <w:pBdr>
          <w:bottom w:val="single" w:color="CBD5E1" w:sz="6" w:space="10"/>
        </w:pBdr>
        <w:spacing w:after="320"/>
      </w:pPr>
      <w:r>
        <w:rPr>
          <w:b w:val="false"/>
          <w:bCs w:val="false"/>
          <w:i/>
          <w:iCs/>
          <w:color w:val="475569"/>
          <w:sz w:val="19"/>
          <w:szCs w:val="19"/>
        </w:rPr>
        <w:t xml:space="preserve">Ejemplo real generado con el mismo motor que sirve a los clientes. La obra y las partes son inventadas. Los tres plazos salen calculados desde la fecha del acta, como manda el artículo 17 de la LOE. Generado el 7 de septiembre de 2026.</w:t>
      </w:r>
    </w:p>
    <w:p>
      <w:pPr>
        <w:spacing w:after="200"/>
      </w:pPr>
      <w:r>
        <w:rPr>
          <w:b/>
          <w:bCs/>
          <w:color w:val="1D4ED8"/>
          <w:sz w:val="18"/>
          <w:szCs w:val="18"/>
        </w:rPr>
        <w:t xml:space="preserve">ACTA DE REPLANTEO — EDIFICIO MARINA, 14 VIVIENDAS</w:t>
      </w:r>
    </w:p>
    <w:p>
      <w:pPr>
        <w:pStyle w:val="Heading1"/>
        <w:spacing w:after="140" w:before="0"/>
      </w:pPr>
      <w:r>
        <w:rPr>
          <w:b w:val="false"/>
          <w:bCs w:val="false"/>
        </w:rPr>
        <w:t xml:space="preserve">Acta de replanteo y de comienzo de obra</w:t>
      </w:r>
    </w:p>
    <w:p>
      <w:pPr>
        <w:spacing w:after="140"/>
      </w:pPr>
      <w:r>
        <w:rPr>
          <w:b/>
          <w:bCs/>
        </w:rPr>
        <w:t xml:space="preserve">Obra:</w:t>
      </w:r>
      <w:r>
        <w:rPr>
          <w:b w:val="false"/>
          <w:bCs w:val="false"/>
        </w:rPr>
        <w:t xml:space="preserve"> Edificio Marina, 14 viviendas · Calle Marina 4, Cartagena </w:t>
      </w:r>
      <w:r>
        <w:rPr>
          <w:b/>
          <w:bCs/>
        </w:rPr>
        <w:t xml:space="preserve">Fecha:</w:t>
      </w:r>
      <w:r>
        <w:rPr>
          <w:b w:val="false"/>
          <w:bCs w:val="false"/>
        </w:rPr>
        <w:t xml:space="preserve"> 2025-04-02</w:t>
      </w:r>
    </w:p>
    <w:p>
      <w:pPr>
        <w:pStyle w:val="Heading2"/>
        <w:spacing w:after="140" w:before="320"/>
      </w:pPr>
      <w:r>
        <w:rPr>
          <w:b w:val="false"/>
          <w:bCs w:val="false"/>
        </w:rPr>
        <w:t xml:space="preserve">Partes que intervienen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Agente</w:t>
            </w:r>
          </w:p>
        </w:tc>
        <w:tc>
          <w:tcPr>
            <w:shd w:fill="F1F5F9" w:val="clear"/>
            <w:tcMar>
              <w:top w:type="dxa" w:w="80"/>
              <w:left w:type="dxa" w:w="120"/>
              <w:bottom w:type="dxa" w:w="80"/>
              <w:right w:type="dxa" w:w="120"/>
            </w:tcMar>
          </w:tcPr>
          <w:p>
            <w:pPr>
              <w:spacing w:after="0" w:before="0"/>
            </w:pPr>
            <w:r>
              <w:rPr>
                <w:b/>
                <w:bCs/>
                <w:color w:val="0F172A"/>
                <w:sz w:val="19"/>
                <w:szCs w:val="19"/>
              </w:rPr>
              <w:t xml:space="preserve">Nombre</w:t>
            </w:r>
          </w:p>
        </w:tc>
      </w:tr>
      <w:tr>
        <w:tc>
          <w:tcPr>
            <w:tcMar>
              <w:top w:type="dxa" w:w="80"/>
              <w:left w:type="dxa" w:w="120"/>
              <w:bottom w:type="dxa" w:w="80"/>
              <w:right w:type="dxa" w:w="120"/>
            </w:tcMar>
          </w:tcPr>
          <w:p>
            <w:pPr>
              <w:spacing w:after="0" w:before="0"/>
            </w:pPr>
            <w:r>
              <w:rPr>
                <w:b w:val="false"/>
                <w:bCs w:val="false"/>
                <w:color w:val="0F172A"/>
                <w:sz w:val="19"/>
                <w:szCs w:val="19"/>
              </w:rPr>
              <w:t xml:space="preserve">Promotor</w:t>
            </w:r>
          </w:p>
        </w:tc>
        <w:tc>
          <w:tcPr>
            <w:tcMar>
              <w:top w:type="dxa" w:w="80"/>
              <w:left w:type="dxa" w:w="120"/>
              <w:bottom w:type="dxa" w:w="80"/>
              <w:right w:type="dxa" w:w="120"/>
            </w:tcMar>
          </w:tcPr>
          <w:p>
            <w:pPr>
              <w:spacing w:after="0" w:before="0"/>
            </w:pPr>
            <w:r>
              <w:rPr>
                <w:b w:val="false"/>
                <w:bCs w:val="false"/>
                <w:color w:val="0F172A"/>
                <w:sz w:val="19"/>
                <w:szCs w:val="19"/>
              </w:rPr>
              <w:t xml:space="preserve">Promociones Levante S.L.</w:t>
            </w:r>
          </w:p>
        </w:tc>
      </w:tr>
      <w:tr>
        <w:tc>
          <w:tcPr>
            <w:tcMar>
              <w:top w:type="dxa" w:w="80"/>
              <w:left w:type="dxa" w:w="120"/>
              <w:bottom w:type="dxa" w:w="80"/>
              <w:right w:type="dxa" w:w="120"/>
            </w:tcMar>
          </w:tcPr>
          <w:p>
            <w:pPr>
              <w:spacing w:after="0" w:before="0"/>
            </w:pPr>
            <w:r>
              <w:rPr>
                <w:b w:val="false"/>
                <w:bCs w:val="false"/>
                <w:color w:val="0F172A"/>
                <w:sz w:val="19"/>
                <w:szCs w:val="19"/>
              </w:rPr>
              <w:t xml:space="preserve">Constructor</w:t>
            </w:r>
          </w:p>
        </w:tc>
        <w:tc>
          <w:tcPr>
            <w:tcMar>
              <w:top w:type="dxa" w:w="80"/>
              <w:left w:type="dxa" w:w="120"/>
              <w:bottom w:type="dxa" w:w="80"/>
              <w:right w:type="dxa" w:w="120"/>
            </w:tcMar>
          </w:tcPr>
          <w:p>
            <w:pPr>
              <w:spacing w:after="0" w:before="0"/>
            </w:pPr>
            <w:r>
              <w:rPr>
                <w:b w:val="false"/>
                <w:bCs w:val="false"/>
                <w:color w:val="0F172A"/>
                <w:sz w:val="19"/>
                <w:szCs w:val="19"/>
              </w:rPr>
              <w:t xml:space="preserve">Construcciones Puente S.L.</w:t>
            </w:r>
          </w:p>
        </w:tc>
      </w:tr>
      <w:tr>
        <w:tc>
          <w:tcPr>
            <w:tcMar>
              <w:top w:type="dxa" w:w="80"/>
              <w:left w:type="dxa" w:w="120"/>
              <w:bottom w:type="dxa" w:w="80"/>
              <w:right w:type="dxa" w:w="120"/>
            </w:tcMar>
          </w:tcPr>
          <w:p>
            <w:pPr>
              <w:spacing w:after="0" w:before="0"/>
            </w:pPr>
            <w:r>
              <w:rPr>
                <w:b w:val="false"/>
                <w:bCs w:val="false"/>
                <w:color w:val="0F172A"/>
                <w:sz w:val="19"/>
                <w:szCs w:val="19"/>
              </w:rPr>
              <w:t xml:space="preserve">Director de obra</w:t>
            </w:r>
          </w:p>
        </w:tc>
        <w:tc>
          <w:tcPr>
            <w:tcMar>
              <w:top w:type="dxa" w:w="80"/>
              <w:left w:type="dxa" w:w="120"/>
              <w:bottom w:type="dxa" w:w="80"/>
              <w:right w:type="dxa" w:w="120"/>
            </w:tcMar>
          </w:tcPr>
          <w:p>
            <w:pPr>
              <w:spacing w:after="0" w:before="0"/>
            </w:pPr>
            <w:r>
              <w:rPr>
                <w:b w:val="false"/>
                <w:bCs w:val="false"/>
                <w:color w:val="0F172A"/>
                <w:sz w:val="19"/>
                <w:szCs w:val="19"/>
              </w:rPr>
              <w:t xml:space="preserve">Ana Belmonte, arquitecta</w:t>
            </w:r>
          </w:p>
        </w:tc>
      </w:tr>
      <w:tr>
        <w:tc>
          <w:tcPr>
            <w:tcMar>
              <w:top w:type="dxa" w:w="80"/>
              <w:left w:type="dxa" w:w="120"/>
              <w:bottom w:type="dxa" w:w="80"/>
              <w:right w:type="dxa" w:w="120"/>
            </w:tcMar>
          </w:tcPr>
          <w:p>
            <w:pPr>
              <w:spacing w:after="0" w:before="0"/>
            </w:pPr>
            <w:r>
              <w:rPr>
                <w:b w:val="false"/>
                <w:bCs w:val="false"/>
                <w:color w:val="0F172A"/>
                <w:sz w:val="19"/>
                <w:szCs w:val="19"/>
              </w:rPr>
              <w:t xml:space="preserve">Director de la ejecución de la obra</w:t>
            </w:r>
          </w:p>
        </w:tc>
        <w:tc>
          <w:tcPr>
            <w:tcMar>
              <w:top w:type="dxa" w:w="80"/>
              <w:left w:type="dxa" w:w="120"/>
              <w:bottom w:type="dxa" w:w="80"/>
              <w:right w:type="dxa" w:w="120"/>
            </w:tcMar>
          </w:tcPr>
          <w:p>
            <w:pPr>
              <w:spacing w:after="0" w:before="0"/>
            </w:pPr>
            <w:r>
              <w:rPr>
                <w:b w:val="false"/>
                <w:bCs w:val="false"/>
                <w:color w:val="0F172A"/>
                <w:sz w:val="19"/>
                <w:szCs w:val="19"/>
              </w:rPr>
              <w:t xml:space="preserve">Luis Ortiz, arquitecto técnico</w:t>
            </w:r>
          </w:p>
        </w:tc>
      </w:tr>
    </w:tbl>
    <w:p>
      <w:pPr>
        <w:spacing w:after="160"/>
      </w:pPr>
    </w:p>
    <w:p>
      <w:pPr>
        <w:pStyle w:val="Heading2"/>
        <w:spacing w:after="140" w:before="320"/>
      </w:pPr>
      <w:r>
        <w:rPr>
          <w:b w:val="false"/>
          <w:bCs w:val="false"/>
        </w:rPr>
        <w:t xml:space="preserve">Comprobación</w:t>
      </w:r>
    </w:p>
    <w:p>
      <w:pPr>
        <w:spacing w:after="140"/>
      </w:pPr>
      <w:r>
        <w:rPr>
          <w:b w:val="false"/>
          <w:bCs w:val="false"/>
        </w:rPr>
        <w:t xml:space="preserve">Reunidos en el emplazamiento de la obra en la fecha indicada, se procede a la comprobación del replanteo. Se hace constar:</w:t>
      </w:r>
    </w:p>
    <w:p>
      <w:pPr>
        <w:spacing w:after="60"/>
        <w:ind w:left="340" w:hanging="240"/>
      </w:pPr>
      <w:r>
        <w:rPr>
          <w:b/>
          <w:bCs/>
          <w:color w:val="1D4ED8"/>
        </w:rPr>
        <w:t xml:space="preserve">1. </w:t>
      </w:r>
      <w:r>
        <w:rPr>
          <w:b w:val="false"/>
          <w:bCs w:val="false"/>
        </w:rPr>
        <w:t xml:space="preserve">Que el solar o el inmueble se corresponde con el del proyecto y que sus linderos y su rasante son los previstos.</w:t>
      </w:r>
    </w:p>
    <w:p>
      <w:pPr>
        <w:spacing w:after="60"/>
        <w:ind w:left="340" w:hanging="240"/>
      </w:pPr>
      <w:r>
        <w:rPr>
          <w:b/>
          <w:bCs/>
          <w:color w:val="1D4ED8"/>
        </w:rPr>
        <w:t xml:space="preserve">2. </w:t>
      </w:r>
      <w:r>
        <w:rPr>
          <w:b w:val="false"/>
          <w:bCs w:val="false"/>
        </w:rPr>
        <w:t xml:space="preserve">Que se ha verificado la adecuación de la cimentación y de la estructura proyectadas a las características geotécnicas del terreno.</w:t>
      </w:r>
    </w:p>
    <w:p>
      <w:pPr>
        <w:spacing w:after="60"/>
        <w:ind w:left="340" w:hanging="240"/>
      </w:pPr>
      <w:r>
        <w:rPr>
          <w:b/>
          <w:bCs/>
          <w:color w:val="1D4ED8"/>
        </w:rPr>
        <w:t xml:space="preserve">3. </w:t>
      </w:r>
      <w:r>
        <w:rPr>
          <w:b w:val="false"/>
          <w:bCs w:val="false"/>
        </w:rPr>
        <w:t xml:space="preserve">Que no se aprecian impedimentos para el comienzo de los trabajos distintos de los que, en su caso, se relacionan abajo.</w:t>
      </w:r>
    </w:p>
    <w:p>
      <w:pPr>
        <w:spacing w:after="60"/>
        <w:ind w:left="340" w:hanging="240"/>
      </w:pPr>
      <w:r>
        <w:rPr>
          <w:b/>
          <w:bCs/>
          <w:color w:val="1D4ED8"/>
        </w:rPr>
        <w:t xml:space="preserve">4. </w:t>
      </w:r>
      <w:r>
        <w:rPr>
          <w:b w:val="false"/>
          <w:bCs w:val="false"/>
        </w:rPr>
        <w:t xml:space="preserve">Que la obra dispone de la licencia y de la comunicación de apertura del centro de trabajo, y que el plan de seguridad y salud está aprobado.</w:t>
      </w:r>
    </w:p>
    <w:p>
      <w:pPr>
        <w:spacing w:after="140"/>
      </w:pPr>
      <w:r>
        <w:rPr>
          <w:b/>
          <w:bCs/>
        </w:rPr>
        <w:t xml:space="preserve">Observaciones:</w:t>
      </w:r>
      <w:r>
        <w:rPr>
          <w:b w:val="false"/>
          <w:bCs w:val="false"/>
        </w:rPr>
        <w:t xml:space="preserve"> [PENDIENTE: lo que se aprecie en el replanteo, o «ninguna»]</w:t>
      </w:r>
    </w:p>
    <w:p>
      <w:pPr>
        <w:pStyle w:val="Heading2"/>
        <w:spacing w:after="140" w:before="320"/>
      </w:pPr>
      <w:r>
        <w:rPr>
          <w:b w:val="false"/>
          <w:bCs w:val="false"/>
        </w:rPr>
        <w:t xml:space="preserve">Comienzo</w:t>
      </w:r>
    </w:p>
    <w:p>
      <w:pPr>
        <w:spacing w:after="140"/>
      </w:pPr>
      <w:r>
        <w:rPr>
          <w:b w:val="false"/>
          <w:bCs w:val="false"/>
        </w:rPr>
        <w:t xml:space="preserve">Se da por comprobado el replanteo y </w:t>
      </w:r>
      <w:r>
        <w:rPr>
          <w:b/>
          <w:bCs/>
        </w:rPr>
        <w:t xml:space="preserve">se autoriza el comienzo de la obra</w:t>
      </w:r>
      <w:r>
        <w:rPr>
          <w:b w:val="false"/>
          <w:bCs w:val="false"/>
        </w:rPr>
        <w:t xml:space="preserve"> con fecha 2025-04-02.</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Nombre</w:t>
            </w:r>
          </w:p>
        </w:tc>
        <w:tc>
          <w:tcPr>
            <w:shd w:fill="F1F5F9" w:val="clear"/>
            <w:tcMar>
              <w:top w:type="dxa" w:w="80"/>
              <w:left w:type="dxa" w:w="120"/>
              <w:bottom w:type="dxa" w:w="80"/>
              <w:right w:type="dxa" w:w="120"/>
            </w:tcMar>
          </w:tcPr>
          <w:p>
            <w:pPr>
              <w:spacing w:after="0" w:before="0"/>
            </w:pPr>
            <w:r>
              <w:rPr>
                <w:b/>
                <w:bCs/>
                <w:color w:val="0F172A"/>
                <w:sz w:val="19"/>
                <w:szCs w:val="19"/>
              </w:rPr>
              <w:t xml:space="preserve">Firma</w:t>
            </w:r>
          </w:p>
        </w:tc>
      </w:tr>
      <w:tr>
        <w:tc>
          <w:tcPr>
            <w:tcMar>
              <w:top w:type="dxa" w:w="80"/>
              <w:left w:type="dxa" w:w="120"/>
              <w:bottom w:type="dxa" w:w="80"/>
              <w:right w:type="dxa" w:w="120"/>
            </w:tcMar>
          </w:tcPr>
          <w:p>
            <w:pPr>
              <w:spacing w:after="0" w:before="0"/>
            </w:pPr>
            <w:r>
              <w:rPr>
                <w:b w:val="false"/>
                <w:bCs w:val="false"/>
                <w:color w:val="0F172A"/>
                <w:sz w:val="19"/>
                <w:szCs w:val="19"/>
              </w:rPr>
              <w:t xml:space="preserve">Director de la ejecución de la obra</w:t>
            </w:r>
          </w:p>
        </w:tc>
        <w:tc>
          <w:tcPr>
            <w:tcMar>
              <w:top w:type="dxa" w:w="80"/>
              <w:left w:type="dxa" w:w="120"/>
              <w:bottom w:type="dxa" w:w="80"/>
              <w:right w:type="dxa" w:w="120"/>
            </w:tcMar>
          </w:tcPr>
          <w:p>
            <w:pPr>
              <w:spacing w:after="0" w:before="0"/>
            </w:pPr>
            <w:r>
              <w:rPr>
                <w:b w:val="false"/>
                <w:bCs w:val="false"/>
                <w:color w:val="0F172A"/>
                <w:sz w:val="19"/>
                <w:szCs w:val="19"/>
              </w:rPr>
              <w:t xml:space="preserve">Luis Ortiz, arquitecto técnico</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r>
      <w:tr>
        <w:tc>
          <w:tcPr>
            <w:tcMar>
              <w:top w:type="dxa" w:w="80"/>
              <w:left w:type="dxa" w:w="120"/>
              <w:bottom w:type="dxa" w:w="80"/>
              <w:right w:type="dxa" w:w="120"/>
            </w:tcMar>
          </w:tcPr>
          <w:p>
            <w:pPr>
              <w:spacing w:after="0" w:before="0"/>
            </w:pPr>
            <w:r>
              <w:rPr>
                <w:b w:val="false"/>
                <w:bCs w:val="false"/>
                <w:color w:val="0F172A"/>
                <w:sz w:val="19"/>
                <w:szCs w:val="19"/>
              </w:rPr>
              <w:t xml:space="preserve">Director de obra</w:t>
            </w:r>
          </w:p>
        </w:tc>
        <w:tc>
          <w:tcPr>
            <w:tcMar>
              <w:top w:type="dxa" w:w="80"/>
              <w:left w:type="dxa" w:w="120"/>
              <w:bottom w:type="dxa" w:w="80"/>
              <w:right w:type="dxa" w:w="120"/>
            </w:tcMar>
          </w:tcPr>
          <w:p>
            <w:pPr>
              <w:spacing w:after="0" w:before="0"/>
            </w:pPr>
            <w:r>
              <w:rPr>
                <w:b w:val="false"/>
                <w:bCs w:val="false"/>
                <w:color w:val="0F172A"/>
                <w:sz w:val="19"/>
                <w:szCs w:val="19"/>
              </w:rPr>
              <w:t xml:space="preserve">Ana Belmonte, arquitecta</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r>
      <w:tr>
        <w:tc>
          <w:tcPr>
            <w:tcMar>
              <w:top w:type="dxa" w:w="80"/>
              <w:left w:type="dxa" w:w="120"/>
              <w:bottom w:type="dxa" w:w="80"/>
              <w:right w:type="dxa" w:w="120"/>
            </w:tcMar>
          </w:tcPr>
          <w:p>
            <w:pPr>
              <w:spacing w:after="0" w:before="0"/>
            </w:pPr>
            <w:r>
              <w:rPr>
                <w:b w:val="false"/>
                <w:bCs w:val="false"/>
                <w:color w:val="0F172A"/>
                <w:sz w:val="19"/>
                <w:szCs w:val="19"/>
              </w:rPr>
              <w:t xml:space="preserve">Constructor</w:t>
            </w:r>
          </w:p>
        </w:tc>
        <w:tc>
          <w:tcPr>
            <w:tcMar>
              <w:top w:type="dxa" w:w="80"/>
              <w:left w:type="dxa" w:w="120"/>
              <w:bottom w:type="dxa" w:w="80"/>
              <w:right w:type="dxa" w:w="120"/>
            </w:tcMar>
          </w:tcPr>
          <w:p>
            <w:pPr>
              <w:spacing w:after="0" w:before="0"/>
            </w:pPr>
            <w:r>
              <w:rPr>
                <w:b w:val="false"/>
                <w:bCs w:val="false"/>
                <w:color w:val="0F172A"/>
                <w:sz w:val="19"/>
                <w:szCs w:val="19"/>
              </w:rPr>
              <w:t xml:space="preserve">Construcciones Puente S.L.</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r>
    </w:tbl>
    <w:p>
      <w:pPr>
        <w:spacing w:after="160"/>
      </w:pPr>
    </w:p>
    <w:p>
      <w:pPr>
        <w:pBdr>
          <w:left w:val="single" w:color="CBD5E1" w:sz="12" w:space="12"/>
        </w:pBdr>
        <w:spacing w:after="160" w:before="120"/>
        <w:ind w:left="340"/>
      </w:pPr>
      <w:r>
        <w:rPr>
          <w:b w:val="false"/>
          <w:bCs w:val="false"/>
          <w:color w:val="475569"/>
        </w:rPr>
        <w:t xml:space="preserve">El acta de replanteo o de comienzo de obra la suscribe el director de la ejecución de la obra, por el artículo 13.2.e) de la Ley de Ordenación de la Edificación.</w:t>
      </w:r>
    </w:p>
    <w:p>
      <w:r>
        <w:br w:type="page"/>
      </w:r>
    </w:p>
    <w:p>
      <w:pPr>
        <w:spacing w:after="200"/>
      </w:pPr>
      <w:r>
        <w:rPr>
          <w:b/>
          <w:bCs/>
          <w:color w:val="1D4ED8"/>
          <w:sz w:val="18"/>
          <w:szCs w:val="18"/>
        </w:rPr>
        <w:t xml:space="preserve">ACTA DE RECEPCIÓN — EDIFICIO MARINA, 14 VIVIENDAS</w:t>
      </w:r>
    </w:p>
    <w:p>
      <w:pPr>
        <w:pStyle w:val="Heading1"/>
        <w:spacing w:after="140" w:before="0"/>
      </w:pPr>
      <w:r>
        <w:rPr>
          <w:b w:val="false"/>
          <w:bCs w:val="false"/>
        </w:rPr>
        <w:t xml:space="preserve">Acta de recepción de la obra</w:t>
      </w:r>
    </w:p>
    <w:p>
      <w:pPr>
        <w:spacing w:after="140"/>
      </w:pPr>
      <w:r>
        <w:rPr>
          <w:b/>
          <w:bCs/>
        </w:rPr>
        <w:t xml:space="preserve">Obra:</w:t>
      </w:r>
      <w:r>
        <w:rPr>
          <w:b w:val="false"/>
          <w:bCs w:val="false"/>
        </w:rPr>
        <w:t xml:space="preserve"> Edificio Marina, 14 viviendas · Calle Marina 4, Cartagena </w:t>
      </w:r>
      <w:r>
        <w:rPr>
          <w:b/>
          <w:bCs/>
        </w:rPr>
        <w:t xml:space="preserve">Fecha de la recepción:</w:t>
      </w:r>
      <w:r>
        <w:rPr>
          <w:b w:val="false"/>
          <w:bCs w:val="false"/>
        </w:rPr>
        <w:t xml:space="preserve"> 2026-03-14</w:t>
      </w:r>
    </w:p>
    <w:p>
      <w:pPr>
        <w:pStyle w:val="Heading2"/>
        <w:spacing w:after="140" w:before="320"/>
      </w:pPr>
      <w:r>
        <w:rPr>
          <w:b w:val="false"/>
          <w:bCs w:val="false"/>
        </w:rPr>
        <w:t xml:space="preserve">a) Partes que intervienen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Agente</w:t>
            </w:r>
          </w:p>
        </w:tc>
        <w:tc>
          <w:tcPr>
            <w:shd w:fill="F1F5F9" w:val="clear"/>
            <w:tcMar>
              <w:top w:type="dxa" w:w="80"/>
              <w:left w:type="dxa" w:w="120"/>
              <w:bottom w:type="dxa" w:w="80"/>
              <w:right w:type="dxa" w:w="120"/>
            </w:tcMar>
          </w:tcPr>
          <w:p>
            <w:pPr>
              <w:spacing w:after="0" w:before="0"/>
            </w:pPr>
            <w:r>
              <w:rPr>
                <w:b/>
                <w:bCs/>
                <w:color w:val="0F172A"/>
                <w:sz w:val="19"/>
                <w:szCs w:val="19"/>
              </w:rPr>
              <w:t xml:space="preserve">Nombre</w:t>
            </w:r>
          </w:p>
        </w:tc>
      </w:tr>
      <w:tr>
        <w:tc>
          <w:tcPr>
            <w:tcMar>
              <w:top w:type="dxa" w:w="80"/>
              <w:left w:type="dxa" w:w="120"/>
              <w:bottom w:type="dxa" w:w="80"/>
              <w:right w:type="dxa" w:w="120"/>
            </w:tcMar>
          </w:tcPr>
          <w:p>
            <w:pPr>
              <w:spacing w:after="0" w:before="0"/>
            </w:pPr>
            <w:r>
              <w:rPr>
                <w:b w:val="false"/>
                <w:bCs w:val="false"/>
                <w:color w:val="0F172A"/>
                <w:sz w:val="19"/>
                <w:szCs w:val="19"/>
              </w:rPr>
              <w:t xml:space="preserve">Promotor</w:t>
            </w:r>
          </w:p>
        </w:tc>
        <w:tc>
          <w:tcPr>
            <w:tcMar>
              <w:top w:type="dxa" w:w="80"/>
              <w:left w:type="dxa" w:w="120"/>
              <w:bottom w:type="dxa" w:w="80"/>
              <w:right w:type="dxa" w:w="120"/>
            </w:tcMar>
          </w:tcPr>
          <w:p>
            <w:pPr>
              <w:spacing w:after="0" w:before="0"/>
            </w:pPr>
            <w:r>
              <w:rPr>
                <w:b w:val="false"/>
                <w:bCs w:val="false"/>
                <w:color w:val="0F172A"/>
                <w:sz w:val="19"/>
                <w:szCs w:val="19"/>
              </w:rPr>
              <w:t xml:space="preserve">Promociones Levante S.L.</w:t>
            </w:r>
          </w:p>
        </w:tc>
      </w:tr>
      <w:tr>
        <w:tc>
          <w:tcPr>
            <w:tcMar>
              <w:top w:type="dxa" w:w="80"/>
              <w:left w:type="dxa" w:w="120"/>
              <w:bottom w:type="dxa" w:w="80"/>
              <w:right w:type="dxa" w:w="120"/>
            </w:tcMar>
          </w:tcPr>
          <w:p>
            <w:pPr>
              <w:spacing w:after="0" w:before="0"/>
            </w:pPr>
            <w:r>
              <w:rPr>
                <w:b w:val="false"/>
                <w:bCs w:val="false"/>
                <w:color w:val="0F172A"/>
                <w:sz w:val="19"/>
                <w:szCs w:val="19"/>
              </w:rPr>
              <w:t xml:space="preserve">Constructor</w:t>
            </w:r>
          </w:p>
        </w:tc>
        <w:tc>
          <w:tcPr>
            <w:tcMar>
              <w:top w:type="dxa" w:w="80"/>
              <w:left w:type="dxa" w:w="120"/>
              <w:bottom w:type="dxa" w:w="80"/>
              <w:right w:type="dxa" w:w="120"/>
            </w:tcMar>
          </w:tcPr>
          <w:p>
            <w:pPr>
              <w:spacing w:after="0" w:before="0"/>
            </w:pPr>
            <w:r>
              <w:rPr>
                <w:b w:val="false"/>
                <w:bCs w:val="false"/>
                <w:color w:val="0F172A"/>
                <w:sz w:val="19"/>
                <w:szCs w:val="19"/>
              </w:rPr>
              <w:t xml:space="preserve">Construcciones Puente S.L.</w:t>
            </w:r>
          </w:p>
        </w:tc>
      </w:tr>
      <w:tr>
        <w:tc>
          <w:tcPr>
            <w:tcMar>
              <w:top w:type="dxa" w:w="80"/>
              <w:left w:type="dxa" w:w="120"/>
              <w:bottom w:type="dxa" w:w="80"/>
              <w:right w:type="dxa" w:w="120"/>
            </w:tcMar>
          </w:tcPr>
          <w:p>
            <w:pPr>
              <w:spacing w:after="0" w:before="0"/>
            </w:pPr>
            <w:r>
              <w:rPr>
                <w:b w:val="false"/>
                <w:bCs w:val="false"/>
                <w:color w:val="0F172A"/>
                <w:sz w:val="19"/>
                <w:szCs w:val="19"/>
              </w:rPr>
              <w:t xml:space="preserve">Director de obra</w:t>
            </w:r>
          </w:p>
        </w:tc>
        <w:tc>
          <w:tcPr>
            <w:tcMar>
              <w:top w:type="dxa" w:w="80"/>
              <w:left w:type="dxa" w:w="120"/>
              <w:bottom w:type="dxa" w:w="80"/>
              <w:right w:type="dxa" w:w="120"/>
            </w:tcMar>
          </w:tcPr>
          <w:p>
            <w:pPr>
              <w:spacing w:after="0" w:before="0"/>
            </w:pPr>
            <w:r>
              <w:rPr>
                <w:b w:val="false"/>
                <w:bCs w:val="false"/>
                <w:color w:val="0F172A"/>
                <w:sz w:val="19"/>
                <w:szCs w:val="19"/>
              </w:rPr>
              <w:t xml:space="preserve">Ana Belmonte, arquitecta</w:t>
            </w:r>
          </w:p>
        </w:tc>
      </w:tr>
      <w:tr>
        <w:tc>
          <w:tcPr>
            <w:tcMar>
              <w:top w:type="dxa" w:w="80"/>
              <w:left w:type="dxa" w:w="120"/>
              <w:bottom w:type="dxa" w:w="80"/>
              <w:right w:type="dxa" w:w="120"/>
            </w:tcMar>
          </w:tcPr>
          <w:p>
            <w:pPr>
              <w:spacing w:after="0" w:before="0"/>
            </w:pPr>
            <w:r>
              <w:rPr>
                <w:b w:val="false"/>
                <w:bCs w:val="false"/>
                <w:color w:val="0F172A"/>
                <w:sz w:val="19"/>
                <w:szCs w:val="19"/>
              </w:rPr>
              <w:t xml:space="preserve">Director de la ejecución de la obra</w:t>
            </w:r>
          </w:p>
        </w:tc>
        <w:tc>
          <w:tcPr>
            <w:tcMar>
              <w:top w:type="dxa" w:w="80"/>
              <w:left w:type="dxa" w:w="120"/>
              <w:bottom w:type="dxa" w:w="80"/>
              <w:right w:type="dxa" w:w="120"/>
            </w:tcMar>
          </w:tcPr>
          <w:p>
            <w:pPr>
              <w:spacing w:after="0" w:before="0"/>
            </w:pPr>
            <w:r>
              <w:rPr>
                <w:b w:val="false"/>
                <w:bCs w:val="false"/>
                <w:color w:val="0F172A"/>
                <w:sz w:val="19"/>
                <w:szCs w:val="19"/>
              </w:rPr>
              <w:t xml:space="preserve">Luis Ortiz, arquitecto técnico</w:t>
            </w:r>
          </w:p>
        </w:tc>
      </w:tr>
    </w:tbl>
    <w:p>
      <w:pPr>
        <w:spacing w:after="160"/>
      </w:pPr>
    </w:p>
    <w:p>
      <w:pPr>
        <w:pStyle w:val="Heading2"/>
        <w:spacing w:after="140" w:before="320"/>
      </w:pPr>
      <w:r>
        <w:rPr>
          <w:b w:val="false"/>
          <w:bCs w:val="false"/>
        </w:rPr>
        <w:t xml:space="preserve">b) Certificado final de obra</w:t>
      </w:r>
    </w:p>
    <w:p>
      <w:pPr>
        <w:spacing w:after="140"/>
      </w:pPr>
      <w:r>
        <w:rPr>
          <w:b w:val="false"/>
          <w:bCs w:val="false"/>
        </w:rPr>
        <w:t xml:space="preserve">Fecha del certificado final de la totalidad de la obra: </w:t>
      </w:r>
      <w:r>
        <w:rPr>
          <w:b/>
          <w:bCs/>
        </w:rPr>
        <w:t xml:space="preserve">2026-03-01</w:t>
      </w:r>
      <w:r>
        <w:rPr>
          <w:b w:val="false"/>
          <w:bCs w:val="false"/>
        </w:rPr>
        <w:t xml:space="preserve">, suscrito por el director de obra y por el director de la ejecución de la obra, que se adjunta a esta acta.</w:t>
      </w:r>
    </w:p>
    <w:p>
      <w:pPr>
        <w:pStyle w:val="Heading2"/>
        <w:spacing w:after="140" w:before="320"/>
      </w:pPr>
      <w:r>
        <w:rPr>
          <w:b w:val="false"/>
          <w:bCs w:val="false"/>
        </w:rPr>
        <w:t xml:space="preserve">c) Coste final de la ejecución material</w:t>
      </w:r>
    </w:p>
    <w:p>
      <w:pPr>
        <w:spacing w:after="140"/>
      </w:pPr>
      <w:r>
        <w:rPr>
          <w:b/>
          <w:bCs/>
        </w:rPr>
        <w:t xml:space="preserve">1.284.000,00 €</w:t>
      </w:r>
    </w:p>
    <w:p>
      <w:pPr>
        <w:pStyle w:val="Heading2"/>
        <w:spacing w:after="140" w:before="320"/>
      </w:pPr>
      <w:r>
        <w:rPr>
          <w:b w:val="false"/>
          <w:bCs w:val="false"/>
        </w:rPr>
        <w:t xml:space="preserve">d) Declaración de recepción</w:t>
      </w:r>
    </w:p>
    <w:p>
      <w:pPr>
        <w:spacing w:after="140"/>
      </w:pPr>
      <w:r>
        <w:rPr>
          <w:b w:val="false"/>
          <w:bCs w:val="false"/>
        </w:rPr>
        <w:t xml:space="preserve">El promotor </w:t>
      </w:r>
      <w:r>
        <w:rPr>
          <w:b/>
          <w:bCs/>
        </w:rPr>
        <w:t xml:space="preserve">recibe la obra con las siguientes reservas</w:t>
      </w:r>
      <w:r>
        <w:rPr>
          <w:b w:val="false"/>
          <w:bCs w:val="false"/>
        </w:rPr>
        <w:t xml:space="preserve">, especificadas de manera objetiva: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Reserva</w:t>
            </w:r>
          </w:p>
        </w:tc>
        <w:tc>
          <w:tcPr>
            <w:shd w:fill="F1F5F9" w:val="clear"/>
            <w:tcMar>
              <w:top w:type="dxa" w:w="80"/>
              <w:left w:type="dxa" w:w="120"/>
              <w:bottom w:type="dxa" w:w="80"/>
              <w:right w:type="dxa" w:w="120"/>
            </w:tcMar>
          </w:tcPr>
          <w:p>
            <w:pPr>
              <w:spacing w:after="0" w:before="0"/>
            </w:pPr>
            <w:r>
              <w:rPr>
                <w:b/>
                <w:bCs/>
                <w:color w:val="0F172A"/>
                <w:sz w:val="19"/>
                <w:szCs w:val="19"/>
              </w:rPr>
              <w:t xml:space="preserve">Plazo para subsanarla</w:t>
            </w:r>
          </w:p>
        </w:tc>
      </w:tr>
      <w:tr>
        <w:tc>
          <w:tcPr>
            <w:tcMar>
              <w:top w:type="dxa" w:w="80"/>
              <w:left w:type="dxa" w:w="120"/>
              <w:bottom w:type="dxa" w:w="80"/>
              <w:right w:type="dxa" w:w="120"/>
            </w:tcMar>
          </w:tcPr>
          <w:p>
            <w:pPr>
              <w:spacing w:after="0" w:before="0"/>
            </w:pPr>
            <w:r>
              <w:rPr>
                <w:b w:val="false"/>
                <w:bCs w:val="false"/>
                <w:color w:val="0F172A"/>
                <w:sz w:val="19"/>
                <w:szCs w:val="19"/>
              </w:rPr>
              <w:t xml:space="preserve">Rejuntado de alicatado en los baños de las viviendas 2.º A y 2.º B</w:t>
            </w:r>
          </w:p>
        </w:tc>
        <w:tc>
          <w:tcPr>
            <w:tcMar>
              <w:top w:type="dxa" w:w="80"/>
              <w:left w:type="dxa" w:w="120"/>
              <w:bottom w:type="dxa" w:w="80"/>
              <w:right w:type="dxa" w:w="120"/>
            </w:tcMar>
          </w:tcPr>
          <w:p>
            <w:pPr>
              <w:spacing w:after="0" w:before="0"/>
            </w:pPr>
            <w:r>
              <w:rPr>
                <w:b w:val="false"/>
                <w:bCs w:val="false"/>
                <w:color w:val="0F172A"/>
                <w:sz w:val="19"/>
                <w:szCs w:val="19"/>
              </w:rPr>
              <w:t xml:space="preserve">15 días</w:t>
            </w:r>
          </w:p>
        </w:tc>
      </w:tr>
      <w:tr>
        <w:tc>
          <w:tcPr>
            <w:tcMar>
              <w:top w:type="dxa" w:w="80"/>
              <w:left w:type="dxa" w:w="120"/>
              <w:bottom w:type="dxa" w:w="80"/>
              <w:right w:type="dxa" w:w="120"/>
            </w:tcMar>
          </w:tcPr>
          <w:p>
            <w:pPr>
              <w:spacing w:after="0" w:before="0"/>
            </w:pPr>
            <w:r>
              <w:rPr>
                <w:b w:val="false"/>
                <w:bCs w:val="false"/>
                <w:color w:val="0F172A"/>
                <w:sz w:val="19"/>
                <w:szCs w:val="19"/>
              </w:rPr>
              <w:t xml:space="preserve">Ajuste y sellado de la carpintería exterior del portal</w:t>
            </w:r>
          </w:p>
        </w:tc>
        <w:tc>
          <w:tcPr>
            <w:tcMar>
              <w:top w:type="dxa" w:w="80"/>
              <w:left w:type="dxa" w:w="120"/>
              <w:bottom w:type="dxa" w:w="80"/>
              <w:right w:type="dxa" w:w="120"/>
            </w:tcMar>
          </w:tcPr>
          <w:p>
            <w:pPr>
              <w:spacing w:after="0" w:before="0"/>
            </w:pPr>
            <w:r>
              <w:rPr>
                <w:b w:val="false"/>
                <w:bCs w:val="false"/>
                <w:color w:val="0F172A"/>
                <w:sz w:val="19"/>
                <w:szCs w:val="19"/>
              </w:rPr>
              <w:t xml:space="preserve">30 días</w:t>
            </w:r>
          </w:p>
        </w:tc>
      </w:tr>
    </w:tbl>
    <w:p>
      <w:pPr>
        <w:spacing w:after="160"/>
      </w:pPr>
    </w:p>
    <w:p>
      <w:pPr>
        <w:spacing w:after="140"/>
      </w:pPr>
      <w:r>
        <w:rPr>
          <w:b w:val="false"/>
          <w:bCs w:val="false"/>
        </w:rPr>
        <w:t xml:space="preserve">Subsanadas las reservas, se hará constar en </w:t>
      </w:r>
      <w:r>
        <w:rPr>
          <w:b/>
          <w:bCs/>
        </w:rPr>
        <w:t xml:space="preserve">acta aparte</w:t>
      </w:r>
      <w:r>
        <w:rPr>
          <w:b w:val="false"/>
          <w:bCs w:val="false"/>
        </w:rPr>
        <w:t xml:space="preserve">, suscrita por los firmantes de esta recepción. </w:t>
      </w:r>
      <w:r>
        <w:rPr>
          <w:b/>
          <w:bCs/>
        </w:rPr>
        <w:t xml:space="preserve">Los plazos de responsabilidad se cuentan desde esa subsanación</w:t>
      </w:r>
      <w:r>
        <w:rPr>
          <w:b w:val="false"/>
          <w:bCs w:val="false"/>
        </w:rPr>
        <w:t xml:space="preserve">, no desde hoy.</w:t>
      </w:r>
    </w:p>
    <w:p>
      <w:pPr>
        <w:pStyle w:val="Heading2"/>
        <w:spacing w:after="140" w:before="320"/>
      </w:pPr>
      <w:r>
        <w:rPr>
          <w:b w:val="false"/>
          <w:bCs w:val="false"/>
        </w:rPr>
        <w:t xml:space="preserve">e) Garantías exigidas al constructor</w:t>
      </w:r>
    </w:p>
    <w:p>
      <w:pPr>
        <w:spacing w:after="140"/>
      </w:pPr>
      <w:r>
        <w:rPr>
          <w:b w:val="false"/>
          <w:bCs w:val="false"/>
        </w:rPr>
        <w:t xml:space="preserve">Retención del 5 % del importe hasta la subsanación de las reservas</w:t>
      </w:r>
    </w:p>
    <w:p>
      <w:pPr>
        <w:pStyle w:val="Heading2"/>
        <w:spacing w:after="140" w:before="320"/>
      </w:pPr>
      <w:r>
        <w:rPr>
          <w:b w:val="false"/>
          <w:bCs w:val="false"/>
        </w:rPr>
        <w:t xml:space="preserve">Los tres plazos que arrancan hoy</w:t>
      </w:r>
    </w:p>
    <w:p>
      <w:pPr>
        <w:spacing w:after="140"/>
      </w:pPr>
      <w:r>
        <w:rPr>
          <w:b w:val="false"/>
          <w:bCs w:val="false"/>
        </w:rPr>
        <w:t xml:space="preserve">Artículo 17.1 de la Ley de Ordenación de la Edificación, contados desde la subsanación de las reservas: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Plazo</w:t>
            </w:r>
          </w:p>
        </w:tc>
        <w:tc>
          <w:tcPr>
            <w:shd w:fill="F1F5F9" w:val="clear"/>
            <w:tcMar>
              <w:top w:type="dxa" w:w="80"/>
              <w:left w:type="dxa" w:w="120"/>
              <w:bottom w:type="dxa" w:w="80"/>
              <w:right w:type="dxa" w:w="120"/>
            </w:tcMar>
          </w:tcPr>
          <w:p>
            <w:pPr>
              <w:spacing w:after="0" w:before="0"/>
            </w:pPr>
            <w:r>
              <w:rPr>
                <w:b/>
                <w:bCs/>
                <w:color w:val="0F172A"/>
                <w:sz w:val="19"/>
                <w:szCs w:val="19"/>
              </w:rPr>
              <w:t xml:space="preserve">Vence</w:t>
            </w:r>
          </w:p>
        </w:tc>
        <w:tc>
          <w:tcPr>
            <w:shd w:fill="F1F5F9" w:val="clear"/>
            <w:tcMar>
              <w:top w:type="dxa" w:w="80"/>
              <w:left w:type="dxa" w:w="120"/>
              <w:bottom w:type="dxa" w:w="80"/>
              <w:right w:type="dxa" w:w="120"/>
            </w:tcMar>
          </w:tcPr>
          <w:p>
            <w:pPr>
              <w:spacing w:after="0" w:before="0"/>
            </w:pPr>
            <w:r>
              <w:rPr>
                <w:b/>
                <w:bCs/>
                <w:color w:val="0F172A"/>
                <w:sz w:val="19"/>
                <w:szCs w:val="19"/>
              </w:rPr>
              <w:t xml:space="preserve">De qué se responde</w:t>
            </w:r>
          </w:p>
        </w:tc>
      </w:tr>
      <w:tr>
        <w:tc>
          <w:tcPr>
            <w:tcMar>
              <w:top w:type="dxa" w:w="80"/>
              <w:left w:type="dxa" w:w="120"/>
              <w:bottom w:type="dxa" w:w="80"/>
              <w:right w:type="dxa" w:w="120"/>
            </w:tcMar>
          </w:tcPr>
          <w:p>
            <w:pPr>
              <w:spacing w:after="0" w:before="0"/>
            </w:pPr>
            <w:r>
              <w:rPr>
                <w:b w:val="false"/>
                <w:bCs w:val="false"/>
                <w:color w:val="0F172A"/>
                <w:sz w:val="19"/>
                <w:szCs w:val="19"/>
              </w:rPr>
              <w:t xml:space="preserve">1 año</w:t>
            </w:r>
          </w:p>
        </w:tc>
        <w:tc>
          <w:tcPr>
            <w:tcMar>
              <w:top w:type="dxa" w:w="80"/>
              <w:left w:type="dxa" w:w="120"/>
              <w:bottom w:type="dxa" w:w="80"/>
              <w:right w:type="dxa" w:w="120"/>
            </w:tcMar>
          </w:tcPr>
          <w:p>
            <w:pPr>
              <w:spacing w:after="0" w:before="0"/>
            </w:pPr>
            <w:r>
              <w:rPr>
                <w:b w:val="false"/>
                <w:bCs w:val="false"/>
                <w:color w:val="0F172A"/>
                <w:sz w:val="19"/>
                <w:szCs w:val="19"/>
              </w:rPr>
              <w:t xml:space="preserve">desde la subsanación</w:t>
            </w:r>
          </w:p>
        </w:tc>
        <w:tc>
          <w:tcPr>
            <w:tcMar>
              <w:top w:type="dxa" w:w="80"/>
              <w:left w:type="dxa" w:w="120"/>
              <w:bottom w:type="dxa" w:w="80"/>
              <w:right w:type="dxa" w:w="120"/>
            </w:tcMar>
          </w:tcPr>
          <w:p>
            <w:pPr>
              <w:spacing w:after="0" w:before="0"/>
            </w:pPr>
            <w:r>
              <w:rPr>
                <w:b w:val="false"/>
                <w:bCs w:val="false"/>
                <w:color w:val="0F172A"/>
                <w:sz w:val="19"/>
                <w:szCs w:val="19"/>
              </w:rPr>
              <w:t xml:space="preserve">Daños en elementos de terminación o acabado. Responde el constructor.</w:t>
            </w:r>
          </w:p>
        </w:tc>
      </w:tr>
      <w:tr>
        <w:tc>
          <w:tcPr>
            <w:tcMar>
              <w:top w:type="dxa" w:w="80"/>
              <w:left w:type="dxa" w:w="120"/>
              <w:bottom w:type="dxa" w:w="80"/>
              <w:right w:type="dxa" w:w="120"/>
            </w:tcMar>
          </w:tcPr>
          <w:p>
            <w:pPr>
              <w:spacing w:after="0" w:before="0"/>
            </w:pPr>
            <w:r>
              <w:rPr>
                <w:b w:val="false"/>
                <w:bCs w:val="false"/>
                <w:color w:val="0F172A"/>
                <w:sz w:val="19"/>
                <w:szCs w:val="19"/>
              </w:rPr>
              <w:t xml:space="preserve">3 años</w:t>
            </w:r>
          </w:p>
        </w:tc>
        <w:tc>
          <w:tcPr>
            <w:tcMar>
              <w:top w:type="dxa" w:w="80"/>
              <w:left w:type="dxa" w:w="120"/>
              <w:bottom w:type="dxa" w:w="80"/>
              <w:right w:type="dxa" w:w="120"/>
            </w:tcMar>
          </w:tcPr>
          <w:p>
            <w:pPr>
              <w:spacing w:after="0" w:before="0"/>
            </w:pPr>
            <w:r>
              <w:rPr>
                <w:b w:val="false"/>
                <w:bCs w:val="false"/>
                <w:color w:val="0F172A"/>
                <w:sz w:val="19"/>
                <w:szCs w:val="19"/>
              </w:rPr>
              <w:t xml:space="preserve">desde la subsanación</w:t>
            </w:r>
          </w:p>
        </w:tc>
        <w:tc>
          <w:tcPr>
            <w:tcMar>
              <w:top w:type="dxa" w:w="80"/>
              <w:left w:type="dxa" w:w="120"/>
              <w:bottom w:type="dxa" w:w="80"/>
              <w:right w:type="dxa" w:w="120"/>
            </w:tcMar>
          </w:tcPr>
          <w:p>
            <w:pPr>
              <w:spacing w:after="0" w:before="0"/>
            </w:pPr>
            <w:r>
              <w:rPr>
                <w:b w:val="false"/>
                <w:bCs w:val="false"/>
                <w:color w:val="0F172A"/>
                <w:sz w:val="19"/>
                <w:szCs w:val="19"/>
              </w:rPr>
              <w:t xml:space="preserve">Daños en elementos constructivos o instalaciones que afecten a la habitabilidad.</w:t>
            </w:r>
          </w:p>
        </w:tc>
      </w:tr>
      <w:tr>
        <w:tc>
          <w:tcPr>
            <w:tcMar>
              <w:top w:type="dxa" w:w="80"/>
              <w:left w:type="dxa" w:w="120"/>
              <w:bottom w:type="dxa" w:w="80"/>
              <w:right w:type="dxa" w:w="120"/>
            </w:tcMar>
          </w:tcPr>
          <w:p>
            <w:pPr>
              <w:spacing w:after="0" w:before="0"/>
            </w:pPr>
            <w:r>
              <w:rPr>
                <w:b w:val="false"/>
                <w:bCs w:val="false"/>
                <w:color w:val="0F172A"/>
                <w:sz w:val="19"/>
                <w:szCs w:val="19"/>
              </w:rPr>
              <w:t xml:space="preserve">10 años</w:t>
            </w:r>
          </w:p>
        </w:tc>
        <w:tc>
          <w:tcPr>
            <w:tcMar>
              <w:top w:type="dxa" w:w="80"/>
              <w:left w:type="dxa" w:w="120"/>
              <w:bottom w:type="dxa" w:w="80"/>
              <w:right w:type="dxa" w:w="120"/>
            </w:tcMar>
          </w:tcPr>
          <w:p>
            <w:pPr>
              <w:spacing w:after="0" w:before="0"/>
            </w:pPr>
            <w:r>
              <w:rPr>
                <w:b w:val="false"/>
                <w:bCs w:val="false"/>
                <w:color w:val="0F172A"/>
                <w:sz w:val="19"/>
                <w:szCs w:val="19"/>
              </w:rPr>
              <w:t xml:space="preserve">desde la subsanación</w:t>
            </w:r>
          </w:p>
        </w:tc>
        <w:tc>
          <w:tcPr>
            <w:tcMar>
              <w:top w:type="dxa" w:w="80"/>
              <w:left w:type="dxa" w:w="120"/>
              <w:bottom w:type="dxa" w:w="80"/>
              <w:right w:type="dxa" w:w="120"/>
            </w:tcMar>
          </w:tcPr>
          <w:p>
            <w:pPr>
              <w:spacing w:after="0" w:before="0"/>
            </w:pPr>
            <w:r>
              <w:rPr>
                <w:b w:val="false"/>
                <w:bCs w:val="false"/>
                <w:color w:val="0F172A"/>
                <w:sz w:val="19"/>
                <w:szCs w:val="19"/>
              </w:rPr>
              <w:t xml:space="preserve">Daños que afecten a la cimentación, soportes, vigas, forjados, muros de carga u otros elementos estructurales.</w:t>
            </w:r>
          </w:p>
        </w:tc>
      </w:tr>
    </w:tbl>
    <w:p>
      <w:pPr>
        <w:spacing w:after="160"/>
      </w:pPr>
    </w:p>
    <w:p>
      <w:pPr>
        <w:pStyle w:val="Heading2"/>
        <w:spacing w:after="140" w:before="320"/>
      </w:pPr>
      <w:r>
        <w:rPr>
          <w:b w:val="false"/>
          <w:bCs w:val="false"/>
        </w:rPr>
        <w:t xml:space="preserve">Firmas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Nombre</w:t>
            </w:r>
          </w:p>
        </w:tc>
        <w:tc>
          <w:tcPr>
            <w:shd w:fill="F1F5F9" w:val="clear"/>
            <w:tcMar>
              <w:top w:type="dxa" w:w="80"/>
              <w:left w:type="dxa" w:w="120"/>
              <w:bottom w:type="dxa" w:w="80"/>
              <w:right w:type="dxa" w:w="120"/>
            </w:tcMar>
          </w:tcPr>
          <w:p>
            <w:pPr>
              <w:spacing w:after="0" w:before="0"/>
            </w:pPr>
            <w:r>
              <w:rPr>
                <w:b/>
                <w:bCs/>
                <w:color w:val="0F172A"/>
                <w:sz w:val="19"/>
                <w:szCs w:val="19"/>
              </w:rPr>
              <w:t xml:space="preserve">Firma</w:t>
            </w:r>
          </w:p>
        </w:tc>
        <w:tc>
          <w:tcPr>
            <w:shd w:fill="F1F5F9" w:val="clear"/>
            <w:tcMar>
              <w:top w:type="dxa" w:w="80"/>
              <w:left w:type="dxa" w:w="120"/>
              <w:bottom w:type="dxa" w:w="80"/>
              <w:right w:type="dxa" w:w="120"/>
            </w:tcMar>
          </w:tcPr>
          <w:p>
            <w:pPr>
              <w:spacing w:after="0" w:before="0"/>
            </w:pPr>
            <w:r>
              <w:rPr>
                <w:b/>
                <w:bCs/>
                <w:color w:val="0F172A"/>
                <w:sz w:val="19"/>
                <w:szCs w:val="19"/>
              </w:rPr>
              <w:t xml:space="preserve">Fecha</w:t>
            </w:r>
          </w:p>
        </w:tc>
      </w:tr>
      <w:tr>
        <w:tc>
          <w:tcPr>
            <w:tcMar>
              <w:top w:type="dxa" w:w="80"/>
              <w:left w:type="dxa" w:w="120"/>
              <w:bottom w:type="dxa" w:w="80"/>
              <w:right w:type="dxa" w:w="120"/>
            </w:tcMar>
          </w:tcPr>
          <w:p>
            <w:pPr>
              <w:spacing w:after="0" w:before="0"/>
            </w:pPr>
            <w:r>
              <w:rPr>
                <w:b w:val="false"/>
                <w:bCs w:val="false"/>
                <w:color w:val="0F172A"/>
                <w:sz w:val="19"/>
                <w:szCs w:val="19"/>
              </w:rPr>
              <w:t xml:space="preserve">Promotor</w:t>
            </w:r>
          </w:p>
        </w:tc>
        <w:tc>
          <w:tcPr>
            <w:tcMar>
              <w:top w:type="dxa" w:w="80"/>
              <w:left w:type="dxa" w:w="120"/>
              <w:bottom w:type="dxa" w:w="80"/>
              <w:right w:type="dxa" w:w="120"/>
            </w:tcMar>
          </w:tcPr>
          <w:p>
            <w:pPr>
              <w:spacing w:after="0" w:before="0"/>
            </w:pPr>
            <w:r>
              <w:rPr>
                <w:b w:val="false"/>
                <w:bCs w:val="false"/>
                <w:color w:val="0F172A"/>
                <w:sz w:val="19"/>
                <w:szCs w:val="19"/>
              </w:rPr>
              <w:t xml:space="preserve">Promociones Levante S.L.</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2026-03-14</w:t>
            </w:r>
          </w:p>
        </w:tc>
      </w:tr>
      <w:tr>
        <w:tc>
          <w:tcPr>
            <w:tcMar>
              <w:top w:type="dxa" w:w="80"/>
              <w:left w:type="dxa" w:w="120"/>
              <w:bottom w:type="dxa" w:w="80"/>
              <w:right w:type="dxa" w:w="120"/>
            </w:tcMar>
          </w:tcPr>
          <w:p>
            <w:pPr>
              <w:spacing w:after="0" w:before="0"/>
            </w:pPr>
            <w:r>
              <w:rPr>
                <w:b w:val="false"/>
                <w:bCs w:val="false"/>
                <w:color w:val="0F172A"/>
                <w:sz w:val="19"/>
                <w:szCs w:val="19"/>
              </w:rPr>
              <w:t xml:space="preserve">Constructor</w:t>
            </w:r>
          </w:p>
        </w:tc>
        <w:tc>
          <w:tcPr>
            <w:tcMar>
              <w:top w:type="dxa" w:w="80"/>
              <w:left w:type="dxa" w:w="120"/>
              <w:bottom w:type="dxa" w:w="80"/>
              <w:right w:type="dxa" w:w="120"/>
            </w:tcMar>
          </w:tcPr>
          <w:p>
            <w:pPr>
              <w:spacing w:after="0" w:before="0"/>
            </w:pPr>
            <w:r>
              <w:rPr>
                <w:b w:val="false"/>
                <w:bCs w:val="false"/>
                <w:color w:val="0F172A"/>
                <w:sz w:val="19"/>
                <w:szCs w:val="19"/>
              </w:rPr>
              <w:t xml:space="preserve">Construcciones Puente S.L.</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2026-03-14</w:t>
            </w:r>
          </w:p>
        </w:tc>
      </w:tr>
    </w:tbl>
    <w:p>
      <w:pPr>
        <w:spacing w:after="160"/>
      </w:pPr>
    </w:p>
    <w:p>
      <w:pPr>
        <w:pBdr>
          <w:left w:val="single" w:color="CBD5E1" w:sz="12" w:space="12"/>
        </w:pBdr>
        <w:spacing w:after="160" w:before="120"/>
        <w:ind w:left="340"/>
      </w:pPr>
      <w:r>
        <w:rPr>
          <w:b w:val="false"/>
          <w:bCs w:val="false"/>
          <w:color w:val="475569"/>
        </w:rPr>
        <w:t xml:space="preserve">El acta la firman, al menos, el promotor y el constructor. Si el promotor rechaza la recepción, el rechazo se motiva por escrito </w:t>
      </w:r>
      <w:r>
        <w:rPr>
          <w:b/>
          <w:bCs/>
          <w:color w:val="475569"/>
        </w:rPr>
        <w:t xml:space="preserve">en esta misma acta</w:t>
      </w:r>
      <w:r>
        <w:rPr>
          <w:b w:val="false"/>
          <w:bCs w:val="false"/>
          <w:color w:val="475569"/>
        </w:rPr>
        <w:t xml:space="preserve"> y se fija en ella el nuevo plazo.</w:t>
      </w:r>
    </w:p>
    <w:p>
      <w:r>
        <w:br w:type="page"/>
      </w:r>
    </w:p>
    <w:p>
      <w:pPr>
        <w:spacing w:after="200"/>
      </w:pPr>
      <w:r>
        <w:rPr>
          <w:b/>
          <w:bCs/>
          <w:color w:val="1D4ED8"/>
          <w:sz w:val="18"/>
          <w:szCs w:val="18"/>
        </w:rPr>
        <w:t xml:space="preserve">ADVERTENCIAS</w:t>
      </w:r>
    </w:p>
    <w:p>
      <w:pPr>
        <w:pStyle w:val="Heading1"/>
        <w:spacing w:after="140" w:before="0"/>
      </w:pPr>
      <w:r>
        <w:rPr>
          <w:b w:val="false"/>
          <w:bCs w:val="false"/>
        </w:rPr>
        <w:t xml:space="preserve">Advertencias</w:t>
      </w:r>
    </w:p>
    <w:p>
      <w:pPr>
        <w:spacing w:after="60"/>
        <w:ind w:left="340" w:hanging="240"/>
      </w:pPr>
      <w:r>
        <w:rPr>
          <w:b/>
          <w:bCs/>
          <w:color w:val="1D4ED8"/>
        </w:rPr>
        <w:t xml:space="preserve">•	</w:t>
      </w:r>
      <w:r>
        <w:rPr>
          <w:b/>
          <w:bCs/>
        </w:rPr>
        <w:t xml:space="preserve">La fecha de esta acta arranca los plazos de uno, tres y diez años.</w:t>
      </w:r>
      <w:r>
        <w:rPr>
          <w:b w:val="false"/>
          <w:bCs w:val="false"/>
        </w:rPr>
        <w:t xml:space="preserve"> Salen calculados en el documento. Apúntalos donde los vayas a mirar, no en el acta que se archiva.</w:t>
      </w:r>
    </w:p>
    <w:p>
      <w:pPr>
        <w:spacing w:after="60"/>
        <w:ind w:left="340" w:hanging="240"/>
      </w:pPr>
      <w:r>
        <w:rPr>
          <w:b/>
          <w:bCs/>
          <w:color w:val="1D4ED8"/>
        </w:rPr>
        <w:t xml:space="preserve">•	</w:t>
      </w:r>
      <w:r>
        <w:rPr>
          <w:b w:val="false"/>
          <w:bCs w:val="false"/>
        </w:rPr>
        <w:t xml:space="preserve">Con reservas, el cómputo de los plazos empieza </w:t>
      </w:r>
      <w:r>
        <w:rPr>
          <w:b/>
          <w:bCs/>
        </w:rPr>
        <w:t xml:space="preserve">cuando queden subsanadas</w:t>
      </w:r>
      <w:r>
        <w:rPr>
          <w:b w:val="false"/>
          <w:bCs w:val="false"/>
        </w:rPr>
        <w:t xml:space="preserve">, no en la fecha de esta acta. La subsanación se hace constar en un acta aparte, firmada por los mismos.</w:t>
      </w:r>
    </w:p>
    <w:p>
      <w:pPr>
        <w:spacing w:after="60"/>
        <w:ind w:left="340" w:hanging="240"/>
      </w:pPr>
      <w:r>
        <w:rPr>
          <w:b/>
          <w:bCs/>
          <w:color w:val="1D4ED8"/>
        </w:rPr>
        <w:t xml:space="preserve">•	</w:t>
      </w:r>
      <w:r>
        <w:rPr>
          <w:b w:val="false"/>
          <w:bCs w:val="false"/>
        </w:rPr>
        <w:t xml:space="preserve">Si el promotor no dice nada en treinta días desde la terminación acreditada en el certificado final, la recepción se entiende producida tácitamente. El silencio también cuenta.</w:t>
      </w:r>
    </w:p>
    <w:p>
      <w:pPr>
        <w:spacing w:after="60"/>
        <w:ind w:left="340" w:hanging="240"/>
      </w:pPr>
      <w:r>
        <w:rPr>
          <w:b/>
          <w:bCs/>
          <w:color w:val="1D4ED8"/>
        </w:rPr>
        <w:t xml:space="preserve">•	</w:t>
      </w:r>
      <w:r>
        <w:rPr>
          <w:b w:val="false"/>
          <w:bCs w:val="false"/>
        </w:rPr>
        <w:t xml:space="preserve">Firmada la recepción, la documentación de la obra —proyecto, modificados, libro de órdenes, certificados y ensayos— se deposita y se conserva. Es lo único que se puede enseñar dentro de ocho años.</w:t>
      </w:r>
    </w:p>
    <w:p>
      <w:r>
        <w:br w:type="page"/>
      </w:r>
    </w:p>
    <w:p>
      <w:pPr>
        <w:spacing w:after="200"/>
      </w:pPr>
      <w:r>
        <w:rPr>
          <w:b/>
          <w:bCs/>
          <w:color w:val="1D4ED8"/>
          <w:sz w:val="18"/>
          <w:szCs w:val="18"/>
        </w:rPr>
        <w:t xml:space="preserve">DE DÓNDE SALE CADA COSA</w:t>
      </w:r>
    </w:p>
    <w:p>
      <w:pPr>
        <w:pStyle w:val="Heading1"/>
        <w:spacing w:after="140" w:before="0"/>
      </w:pPr>
      <w:r>
        <w:rPr>
          <w:b w:val="false"/>
          <w:bCs w:val="false"/>
        </w:rPr>
        <w:t xml:space="preserve">De dónde sale cada cosa</w:t>
      </w:r>
    </w:p>
    <w:p>
      <w:pPr>
        <w:spacing w:after="140"/>
      </w:pPr>
      <w:r>
        <w:rPr>
          <w:b w:val="false"/>
          <w:bCs w:val="false"/>
        </w:rPr>
        <w:t xml:space="preserve">Cada afirmación con su norma, su artículo y el enlace a la fuente oficial. La firma y la responsabilidad son de quien presenta el documento.</w:t>
      </w:r>
    </w:p>
    <w:p>
      <w:pPr>
        <w:spacing w:after="140"/>
      </w:pPr>
      <w:r>
        <w:rPr>
          <w:b/>
          <w:bCs/>
        </w:rPr>
        <w:t xml:space="preserve">Ley 38/1999, de 5 de noviembre, de Ordenación de la Edificación, art. 13.2.e</w:t>
      </w:r>
    </w:p>
    <w:p>
      <w:pPr>
        <w:spacing w:after="140"/>
      </w:pPr>
      <w:r>
        <w:rPr>
          <w:b w:val="false"/>
          <w:bCs w:val="false"/>
        </w:rPr>
        <w:t xml:space="preserve">Son obligaciones del director de la ejecución de la obra suscribir el acta de replanteo o de comienzo de obra y el certificado final de obra, así como elaborar y suscribir las certificaciones parciales y la liquidación final de las unidades de obra ejecutadas.</w:t>
      </w:r>
    </w:p>
    <w:p>
      <w:pPr>
        <w:spacing w:after="140"/>
      </w:pPr>
      <w:r>
        <w:rPr>
          <w:b w:val="false"/>
          <w:bCs w:val="false"/>
        </w:rPr>
        <w:t xml:space="preserve">https://www.boe.es/buscar/act.php?id=BOE-A-1999-21567</w:t>
      </w:r>
    </w:p>
    <w:p>
      <w:pPr>
        <w:spacing w:after="140"/>
      </w:pPr>
      <w:r>
        <w:rPr>
          <w:b/>
          <w:bCs/>
        </w:rPr>
        <w:t xml:space="preserve">Ley 38/1999, de 5 de noviembre, de Ordenación de la Edificación, art. 12.3.b</w:t>
      </w:r>
    </w:p>
    <w:p>
      <w:pPr>
        <w:spacing w:after="140"/>
      </w:pPr>
      <w:r>
        <w:rPr>
          <w:b w:val="false"/>
          <w:bCs w:val="false"/>
        </w:rPr>
        <w:t xml:space="preserve">Son obligaciones del director de obra verificar el replanteo y la adecuación de la cimentación y de la estructura proyectadas a las características geotécnicas del terreno.</w:t>
      </w:r>
    </w:p>
    <w:p>
      <w:pPr>
        <w:spacing w:after="140"/>
      </w:pPr>
      <w:r>
        <w:rPr>
          <w:b w:val="false"/>
          <w:bCs w:val="false"/>
        </w:rPr>
        <w:t xml:space="preserve">https://www.boe.es/buscar/act.php?id=BOE-A-1999-21567</w:t>
      </w:r>
    </w:p>
    <w:p>
      <w:pPr>
        <w:spacing w:after="140"/>
      </w:pPr>
      <w:r>
        <w:rPr>
          <w:b/>
          <w:bCs/>
        </w:rPr>
        <w:t xml:space="preserve">Ley 38/1999, de 5 de noviembre, de Ordenación de la Edificación, art. 6.1</w:t>
      </w:r>
    </w:p>
    <w:p>
      <w:pPr>
        <w:spacing w:after="140"/>
      </w:pPr>
      <w:r>
        <w:rPr>
          <w:b w:val="false"/>
          <w:bCs w:val="false"/>
        </w:rPr>
        <w:t xml:space="preserve">La recepción de la obra es el acto por el cual el constructor, una vez concluida ésta, hace entrega de la misma al promotor y es aceptada por éste. Podrá realizarse con o sin reservas y deberá abarcar la totalidad de la obra o fases completas y terminadas de la misma, cuando así se acuerde por las partes.</w:t>
      </w:r>
    </w:p>
    <w:p>
      <w:pPr>
        <w:spacing w:after="140"/>
      </w:pPr>
      <w:r>
        <w:rPr>
          <w:b w:val="false"/>
          <w:bCs w:val="false"/>
        </w:rPr>
        <w:t xml:space="preserve">https://www.boe.es/buscar/act.php?id=BOE-A-1999-21567</w:t>
      </w:r>
    </w:p>
    <w:p>
      <w:pPr>
        <w:spacing w:after="140"/>
      </w:pPr>
      <w:r>
        <w:rPr>
          <w:b/>
          <w:bCs/>
        </w:rPr>
        <w:t xml:space="preserve">Ley 38/1999, de 5 de noviembre, de Ordenación de la Edificación, art. 6.2</w:t>
      </w:r>
    </w:p>
    <w:p>
      <w:pPr>
        <w:spacing w:after="140"/>
      </w:pPr>
      <w:r>
        <w:rPr>
          <w:b w:val="false"/>
          <w:bCs w:val="false"/>
        </w:rPr>
        <w:t xml:space="preserve">La recepción deberá consignarse en un acta firmada, al menos, por el promotor y el constructor, y en la misma se hará constar: a) Las partes que intervienen. b) La fecha del certificado final de la totalidad de la obra o de la fase completa y terminada de la misma. c) El coste final de la ejecución material de la obra. d) La declaración de la recepción de la obra con o sin reservas, especificando, en su caso, éstas de manera objetiva, y el plazo en que deberán quedar subsanados los defectos observados. e) Las garantías que, en su caso, se exijan al constructor para asegurar sus responsabilidades. Asimismo, se adjuntará el certificado final de obra suscrito por el director de obra y el director de la ejecución de la obra.</w:t>
      </w:r>
    </w:p>
    <w:p>
      <w:pPr>
        <w:spacing w:after="140"/>
      </w:pPr>
      <w:r>
        <w:rPr>
          <w:b w:val="false"/>
          <w:bCs w:val="false"/>
        </w:rPr>
        <w:t xml:space="preserve">https://www.boe.es/buscar/act.php?id=BOE-A-1999-21567</w:t>
      </w:r>
    </w:p>
    <w:p>
      <w:pPr>
        <w:spacing w:after="140"/>
      </w:pPr>
      <w:r>
        <w:rPr>
          <w:b/>
          <w:bCs/>
        </w:rPr>
        <w:t xml:space="preserve">Ley 38/1999, de 5 de noviembre, de Ordenación de la Edificación, art. 6.5</w:t>
      </w:r>
    </w:p>
    <w:p>
      <w:pPr>
        <w:spacing w:after="140"/>
      </w:pPr>
      <w:r>
        <w:rPr>
          <w:b w:val="false"/>
          <w:bCs w:val="false"/>
        </w:rPr>
        <w:t xml:space="preserve">El cómputo de los plazos de responsabilidad y garantía establecidos en esta Ley se iniciará a partir de la fecha en que se suscriba el acta de recepción, o cuando se entienda ésta tácitamente producida.</w:t>
      </w:r>
    </w:p>
    <w:p>
      <w:pPr>
        <w:spacing w:after="140"/>
      </w:pPr>
      <w:r>
        <w:rPr>
          <w:b w:val="false"/>
          <w:bCs w:val="false"/>
        </w:rPr>
        <w:t xml:space="preserve">https://www.boe.es/buscar/act.php?id=BOE-A-1999-21567</w:t>
      </w:r>
    </w:p>
    <w:p>
      <w:pPr>
        <w:spacing w:after="140"/>
      </w:pPr>
      <w:r>
        <w:rPr>
          <w:b/>
          <w:bCs/>
        </w:rPr>
        <w:t xml:space="preserve">Ley 38/1999, de 5 de noviembre, de Ordenación de la Edificación, art. 17.1.a</w:t>
      </w:r>
    </w:p>
    <w:p>
      <w:pPr>
        <w:spacing w:after="140"/>
      </w:pPr>
      <w:r>
        <w:rPr>
          <w:b w:val="false"/>
          <w:bCs w:val="false"/>
        </w:rPr>
        <w:t xml:space="preserve">Durante diez años, de los daños materiales causados en el edificio por vicios o defectos que afecten a la cimentación, los soportes, las vigas, los forjados, los muros de carga u otros elementos estructurales, y que comprometan directamente la resistencia mecánica y la estabilidad del edificio.</w:t>
      </w:r>
    </w:p>
    <w:p>
      <w:pPr>
        <w:spacing w:after="140"/>
      </w:pPr>
      <w:r>
        <w:rPr>
          <w:b w:val="false"/>
          <w:bCs w:val="false"/>
        </w:rPr>
        <w:t xml:space="preserve">https://www.boe.es/buscar/act.php?id=BOE-A-1999-21567</w:t>
      </w:r>
    </w:p>
    <w:p>
      <w:pPr>
        <w:spacing w:after="140"/>
      </w:pPr>
      <w:r>
        <w:rPr>
          <w:b/>
          <w:bCs/>
        </w:rPr>
        <w:t xml:space="preserve">Ley 38/1999, de 5 de noviembre, de Ordenación de la Edificación, art. 17.1.b</w:t>
      </w:r>
    </w:p>
    <w:p>
      <w:pPr>
        <w:spacing w:after="140"/>
      </w:pPr>
      <w:r>
        <w:rPr>
          <w:b w:val="false"/>
          <w:bCs w:val="false"/>
        </w:rPr>
        <w:t xml:space="preserve">Durante tres años, de los daños materiales causados en el edificio por vicios o defectos de los elementos constructivos o de las instalaciones que ocasionen el incumplimiento de los requisitos de habitabilidad. El constructor también responderá de los daños materiales por vicios o defectos de ejecución que afecten a elementos de terminación o acabado de las obras dentro del plazo de un año.</w:t>
      </w:r>
    </w:p>
    <w:p>
      <w:pPr>
        <w:spacing w:after="140"/>
      </w:pPr>
      <w:r>
        <w:rPr>
          <w:b w:val="false"/>
          <w:bCs w:val="false"/>
        </w:rPr>
        <w:t xml:space="preserve">https://www.boe.es/buscar/act.php?id=BOE-A-1999-21567</w:t>
      </w:r>
    </w:p>
    <w:p>
      <w:pPr>
        <w:spacing w:after="140"/>
      </w:pPr>
      <w:r>
        <w:rPr>
          <w:b/>
          <w:bCs/>
        </w:rPr>
        <w:t xml:space="preserve">Ley 38/1999, de 5 de noviembre, de Ordenación de la Edificación, art. 6.3</w:t>
      </w:r>
    </w:p>
    <w:p>
      <w:pPr>
        <w:spacing w:after="140"/>
      </w:pPr>
      <w:r>
        <w:rPr>
          <w:b w:val="false"/>
          <w:bCs w:val="false"/>
        </w:rPr>
        <w:t xml:space="preserve">El promotor podrá rechazar la recepción de la obra por considerar que la misma no está terminada o que no se adecua a las condiciones contractuales. En todo caso, el rechazo deberá ser motivado por escrito en el acta, en la que se fijará el nuevo plazo para efectuar la recepción.</w:t>
      </w:r>
    </w:p>
    <w:p>
      <w:pPr>
        <w:spacing w:after="140"/>
      </w:pPr>
      <w:r>
        <w:rPr>
          <w:b w:val="false"/>
          <w:bCs w:val="false"/>
        </w:rPr>
        <w:t xml:space="preserve">https://www.boe.es/buscar/act.php?id=BOE-A-1999-21567</w:t>
      </w:r>
    </w:p>
    <w:p>
      <w:pPr>
        <w:spacing w:after="140"/>
      </w:pPr>
      <w:r>
        <w:rPr>
          <w:b/>
          <w:bCs/>
        </w:rPr>
        <w:t xml:space="preserve">Ley 38/1999, de 5 de noviembre, de Ordenación de la Edificación, art. 6.4</w:t>
      </w:r>
    </w:p>
    <w:p>
      <w:pPr>
        <w:spacing w:after="140"/>
      </w:pPr>
      <w:r>
        <w:rPr>
          <w:b w:val="false"/>
          <w:bCs w:val="false"/>
        </w:rPr>
        <w:t xml:space="preserve">Salvo pacto expreso en contrario, la recepción de la obra tendrá lugar dentro de los treinta días siguientes a la fecha de su terminación, acreditada en el certificado final de obra. La recepción se entenderá tácitamente producida si transcurridos treinta días desde la fecha indicada el promotor no hubiera puesto de manifiesto reservas o rechazo motivado por escrito.</w:t>
      </w:r>
    </w:p>
    <w:p>
      <w:pPr>
        <w:spacing w:after="140"/>
      </w:pPr>
      <w:r>
        <w:rPr>
          <w:b w:val="false"/>
          <w:bCs w:val="false"/>
        </w:rPr>
        <w:t xml:space="preserve">https://www.boe.es/buscar/act.php?id=BOE-A-1999-21567</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75569"/>
        <w:sz w:val="16"/>
        <w:szCs w:val="16"/>
      </w:rPr>
      <w:t xml:space="preserve">tramitaia.es    </w:t>
    </w:r>
    <w:r>
      <w:rPr>
        <w:color w:val="475569"/>
        <w:sz w:val="16"/>
        <w:szCs w:val="16"/>
      </w:rPr>
      <w:fldChar w:fldCharType="begin"/>
      <w:instrText xml:space="preserve">PAGE</w:instrText>
      <w:fldChar w:fldCharType="separate"/>
      <w:fldChar w:fldCharType="end"/>
    </w:r>
    <w:r>
      <w:rPr>
        <w:color w:val="475569"/>
        <w:sz w:val="16"/>
        <w:szCs w:val="16"/>
      </w:rPr>
      <w:t xml:space="preserve"> de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172A"/>
      <w:sz w:val="30"/>
      <w:szCs w:val="30"/>
    </w:rPr>
  </w:style>
  <w:style w:type="paragraph" w:styleId="Heading2">
    <w:name w:val="Heading 2"/>
    <w:basedOn w:val="Normal"/>
    <w:next w:val="Normal"/>
    <w:qFormat/>
    <w:rPr>
      <w:rFonts w:ascii="Calibri" w:cs="Calibri" w:eastAsia="Calibri" w:hAnsi="Calibri"/>
      <w:b/>
      <w:bCs/>
      <w:color w:val="0F172A"/>
      <w:sz w:val="25"/>
      <w:szCs w:val="25"/>
    </w:rPr>
  </w:style>
  <w:style w:type="paragraph" w:styleId="Heading3">
    <w:name w:val="Heading 3"/>
    <w:basedOn w:val="Normal"/>
    <w:next w:val="Normal"/>
    <w:qFormat/>
    <w:rPr>
      <w:rFonts w:ascii="Calibri" w:cs="Calibri" w:eastAsia="Calibri" w:hAnsi="Calibri"/>
      <w:b/>
      <w:bCs/>
      <w:color w:val="475569"/>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Recepción con dos reservas de un edificio de 14 viviendas</dc:title>
  <dc:creator>tramitaIA</dc:creator>
  <cp:lastModifiedBy>Un-named</cp:lastModifiedBy>
  <cp:revision>1</cp:revision>
  <dcterms:created xsi:type="dcterms:W3CDTF">2026-09-07T16:57:25.527Z</dcterms:created>
  <dcterms:modified xsi:type="dcterms:W3CDTF">2026-09-07T16:57:25.527Z</dcterms:modified>
</cp:coreProperties>
</file>

<file path=docProps/custom.xml><?xml version="1.0" encoding="utf-8"?>
<Properties xmlns="http://schemas.openxmlformats.org/officeDocument/2006/custom-properties" xmlns:vt="http://schemas.openxmlformats.org/officeDocument/2006/docPropsVTypes"/>
</file>