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ESTUDIO Y PLAN DE GESTIÓN DE RESIDUOS</w:t>
      </w:r>
    </w:p>
    <w:p>
      <w:pPr>
        <w:pStyle w:val="Title"/>
        <w:spacing w:after="120"/>
      </w:pPr>
      <w:r>
        <w:rPr>
          <w:b/>
          <w:bCs/>
          <w:color w:val="0F172A"/>
          <w:sz w:val="40"/>
          <w:szCs w:val="40"/>
        </w:rPr>
        <w:t xml:space="preserve">Reforma integral de 96 m² con demolición de tabiquería y alicatados</w:t>
      </w:r>
    </w:p>
    <w:p>
      <w:pPr>
        <w:pBdr>
          <w:bottom w:val="single" w:color="CBD5E1" w:sz="6" w:space="10"/>
        </w:pBdr>
        <w:spacing w:after="320"/>
      </w:pPr>
      <w:r>
        <w:rPr>
          <w:b w:val="false"/>
          <w:bCs w:val="false"/>
          <w:i/>
          <w:iCs/>
          <w:color w:val="475569"/>
          <w:sz w:val="19"/>
          <w:szCs w:val="19"/>
        </w:rPr>
        <w:t xml:space="preserve">Ejemplo real generado con el mismo motor que sirve a los clientes. La obra y el gestor son inventados. Las densidades son de referencia y los códigos LER, los de la lista europea. Generado el 7 de septiembre de 2026.</w:t>
      </w:r>
    </w:p>
    <w:p>
      <w:pPr>
        <w:spacing w:after="200"/>
      </w:pPr>
      <w:r>
        <w:rPr>
          <w:b/>
          <w:bCs/>
          <w:color w:val="1D4ED8"/>
          <w:sz w:val="18"/>
          <w:szCs w:val="18"/>
        </w:rPr>
        <w:t xml:space="preserve">ESTUDIO DE GESTIÓN DE RESIDUOS — REFORMA INTEGRAL DE VIVIENDA DE 96 M²</w:t>
      </w:r>
    </w:p>
    <w:p>
      <w:pPr>
        <w:pStyle w:val="Heading1"/>
        <w:spacing w:after="140" w:before="0"/>
      </w:pPr>
      <w:r>
        <w:rPr>
          <w:b w:val="false"/>
          <w:bCs w:val="false"/>
        </w:rPr>
        <w:t xml:space="preserve">Estudio de gestión de residuos de construcción y demolición</w:t>
      </w:r>
    </w:p>
    <w:p>
      <w:pPr>
        <w:spacing w:after="140"/>
      </w:pPr>
      <w:r>
        <w:rPr>
          <w:b/>
          <w:bCs/>
        </w:rPr>
        <w:t xml:space="preserve">Obra:</w:t>
      </w:r>
      <w:r>
        <w:rPr>
          <w:b w:val="false"/>
          <w:bCs w:val="false"/>
        </w:rPr>
        <w:t xml:space="preserve"> Reforma integral de vivienda de 96 m² · Calle Trapería 8, 3.º (Murcia) </w:t>
      </w:r>
      <w:r>
        <w:rPr>
          <w:b/>
          <w:bCs/>
        </w:rPr>
        <w:t xml:space="preserve">Superficie:</w:t>
      </w:r>
      <w:r>
        <w:rPr>
          <w:b w:val="false"/>
          <w:bCs w:val="false"/>
        </w:rPr>
        <w:t xml:space="preserve"> 96,00 m²</w:t>
      </w:r>
    </w:p>
    <w:p>
      <w:pPr>
        <w:pBdr>
          <w:left w:val="single" w:color="CBD5E1" w:sz="12" w:space="12"/>
        </w:pBdr>
        <w:spacing w:after="160" w:before="120"/>
        <w:ind w:left="340"/>
      </w:pPr>
      <w:r>
        <w:rPr>
          <w:b w:val="false"/>
          <w:bCs w:val="false"/>
          <w:color w:val="475569"/>
        </w:rPr>
        <w:t xml:space="preserve">Documento del artículo 4.1.a) del RD 105/2008. Va dentro del proyecto de ejecución, y su presupuesto es el que sirve para calcular la fianza municipal.</w:t>
      </w:r>
    </w:p>
    <w:p>
      <w:pPr>
        <w:pStyle w:val="Heading2"/>
        <w:spacing w:after="140" w:before="320"/>
      </w:pPr>
      <w:r>
        <w:rPr>
          <w:b w:val="false"/>
          <w:bCs w:val="false"/>
        </w:rPr>
        <w:t xml:space="preserve">1. Estimación de la cantidad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Elemento</w:t>
            </w:r>
          </w:p>
        </w:tc>
        <w:tc>
          <w:tcPr>
            <w:shd w:fill="F1F5F9" w:val="clear"/>
            <w:tcMar>
              <w:top w:type="dxa" w:w="80"/>
              <w:left w:type="dxa" w:w="120"/>
              <w:bottom w:type="dxa" w:w="80"/>
              <w:right w:type="dxa" w:w="120"/>
            </w:tcMar>
          </w:tcPr>
          <w:p>
            <w:pPr>
              <w:spacing w:after="0" w:before="0"/>
            </w:pPr>
            <w:r>
              <w:rPr>
                <w:b/>
                <w:bCs/>
                <w:color w:val="0F172A"/>
                <w:sz w:val="19"/>
                <w:szCs w:val="19"/>
              </w:rPr>
              <w:t xml:space="preserve">Material</w:t>
            </w:r>
          </w:p>
        </w:tc>
        <w:tc>
          <w:tcPr>
            <w:shd w:fill="F1F5F9" w:val="clear"/>
            <w:tcMar>
              <w:top w:type="dxa" w:w="80"/>
              <w:left w:type="dxa" w:w="120"/>
              <w:bottom w:type="dxa" w:w="80"/>
              <w:right w:type="dxa" w:w="120"/>
            </w:tcMar>
          </w:tcPr>
          <w:p>
            <w:pPr>
              <w:spacing w:after="0" w:before="0"/>
            </w:pPr>
            <w:r>
              <w:rPr>
                <w:b/>
                <w:bCs/>
                <w:color w:val="0F172A"/>
                <w:sz w:val="19"/>
                <w:szCs w:val="19"/>
              </w:rPr>
              <w:t xml:space="preserve">Medición</w:t>
            </w:r>
          </w:p>
        </w:tc>
        <w:tc>
          <w:tcPr>
            <w:shd w:fill="F1F5F9" w:val="clear"/>
            <w:tcMar>
              <w:top w:type="dxa" w:w="80"/>
              <w:left w:type="dxa" w:w="120"/>
              <w:bottom w:type="dxa" w:w="80"/>
              <w:right w:type="dxa" w:w="120"/>
            </w:tcMar>
          </w:tcPr>
          <w:p>
            <w:pPr>
              <w:spacing w:after="0" w:before="0"/>
            </w:pPr>
            <w:r>
              <w:rPr>
                <w:b/>
                <w:bCs/>
                <w:color w:val="0F172A"/>
                <w:sz w:val="19"/>
                <w:szCs w:val="19"/>
              </w:rPr>
              <w:t xml:space="preserve">Volumen</w:t>
            </w:r>
          </w:p>
        </w:tc>
        <w:tc>
          <w:tcPr>
            <w:shd w:fill="F1F5F9" w:val="clear"/>
            <w:tcMar>
              <w:top w:type="dxa" w:w="80"/>
              <w:left w:type="dxa" w:w="120"/>
              <w:bottom w:type="dxa" w:w="80"/>
              <w:right w:type="dxa" w:w="120"/>
            </w:tcMar>
          </w:tcPr>
          <w:p>
            <w:pPr>
              <w:spacing w:after="0" w:before="0"/>
            </w:pPr>
            <w:r>
              <w:rPr>
                <w:b/>
                <w:bCs/>
                <w:color w:val="0F172A"/>
                <w:sz w:val="19"/>
                <w:szCs w:val="19"/>
              </w:rPr>
              <w:t xml:space="preserve">Esponjado ×1,35</w:t>
            </w:r>
          </w:p>
        </w:tc>
        <w:tc>
          <w:tcPr>
            <w:shd w:fill="F1F5F9" w:val="clear"/>
            <w:tcMar>
              <w:top w:type="dxa" w:w="80"/>
              <w:left w:type="dxa" w:w="120"/>
              <w:bottom w:type="dxa" w:w="80"/>
              <w:right w:type="dxa" w:w="120"/>
            </w:tcMar>
          </w:tcPr>
          <w:p>
            <w:pPr>
              <w:spacing w:after="0" w:before="0"/>
            </w:pPr>
            <w:r>
              <w:rPr>
                <w:b/>
                <w:bCs/>
                <w:color w:val="0F172A"/>
                <w:sz w:val="19"/>
                <w:szCs w:val="19"/>
              </w:rPr>
              <w:t xml:space="preserve">Toneladas</w:t>
            </w:r>
          </w:p>
        </w:tc>
      </w:tr>
      <w:tr>
        <w:tc>
          <w:tcPr>
            <w:tcMar>
              <w:top w:type="dxa" w:w="80"/>
              <w:left w:type="dxa" w:w="120"/>
              <w:bottom w:type="dxa" w:w="80"/>
              <w:right w:type="dxa" w:w="120"/>
            </w:tcMar>
          </w:tcPr>
          <w:p>
            <w:pPr>
              <w:spacing w:after="0" w:before="0"/>
            </w:pPr>
            <w:r>
              <w:rPr>
                <w:b w:val="false"/>
                <w:bCs w:val="false"/>
                <w:color w:val="0F172A"/>
                <w:sz w:val="19"/>
                <w:szCs w:val="19"/>
              </w:rPr>
              <w:t xml:space="preserve">Pavimento cerámico</w:t>
            </w:r>
          </w:p>
        </w:tc>
        <w:tc>
          <w:tcPr>
            <w:tcMar>
              <w:top w:type="dxa" w:w="80"/>
              <w:left w:type="dxa" w:w="120"/>
              <w:bottom w:type="dxa" w:w="80"/>
              <w:right w:type="dxa" w:w="120"/>
            </w:tcMar>
          </w:tcPr>
          <w:p>
            <w:pPr>
              <w:spacing w:after="0" w:before="0"/>
            </w:pPr>
            <w:r>
              <w:rPr>
                <w:b w:val="false"/>
                <w:bCs w:val="false"/>
                <w:color w:val="0F172A"/>
                <w:sz w:val="19"/>
                <w:szCs w:val="19"/>
              </w:rPr>
              <w:t xml:space="preserve">Ladrillos, tejas y materiales cerámicos</w:t>
            </w:r>
          </w:p>
        </w:tc>
        <w:tc>
          <w:tcPr>
            <w:tcMar>
              <w:top w:type="dxa" w:w="80"/>
              <w:left w:type="dxa" w:w="120"/>
              <w:bottom w:type="dxa" w:w="80"/>
              <w:right w:type="dxa" w:w="120"/>
            </w:tcMar>
          </w:tcPr>
          <w:p>
            <w:pPr>
              <w:spacing w:after="0" w:before="0"/>
            </w:pPr>
            <w:r>
              <w:rPr>
                <w:b w:val="false"/>
                <w:bCs w:val="false"/>
                <w:color w:val="0F172A"/>
                <w:sz w:val="19"/>
                <w:szCs w:val="19"/>
              </w:rPr>
              <w:t xml:space="preserve">96,00 m2</w:t>
            </w:r>
          </w:p>
        </w:tc>
        <w:tc>
          <w:tcPr>
            <w:tcMar>
              <w:top w:type="dxa" w:w="80"/>
              <w:left w:type="dxa" w:w="120"/>
              <w:bottom w:type="dxa" w:w="80"/>
              <w:right w:type="dxa" w:w="120"/>
            </w:tcMar>
          </w:tcPr>
          <w:p>
            <w:pPr>
              <w:spacing w:after="0" w:before="0"/>
            </w:pPr>
            <w:r>
              <w:rPr>
                <w:b w:val="false"/>
                <w:bCs w:val="false"/>
                <w:color w:val="0F172A"/>
                <w:sz w:val="19"/>
                <w:szCs w:val="19"/>
              </w:rPr>
              <w:t xml:space="preserve">2,88 m³</w:t>
            </w:r>
          </w:p>
        </w:tc>
        <w:tc>
          <w:tcPr>
            <w:tcMar>
              <w:top w:type="dxa" w:w="80"/>
              <w:left w:type="dxa" w:w="120"/>
              <w:bottom w:type="dxa" w:w="80"/>
              <w:right w:type="dxa" w:w="120"/>
            </w:tcMar>
          </w:tcPr>
          <w:p>
            <w:pPr>
              <w:spacing w:after="0" w:before="0"/>
            </w:pPr>
            <w:r>
              <w:rPr>
                <w:b w:val="false"/>
                <w:bCs w:val="false"/>
                <w:color w:val="0F172A"/>
                <w:sz w:val="19"/>
                <w:szCs w:val="19"/>
              </w:rPr>
              <w:t xml:space="preserve">3,89 m³</w:t>
            </w:r>
          </w:p>
        </w:tc>
        <w:tc>
          <w:tcPr>
            <w:tcMar>
              <w:top w:type="dxa" w:w="80"/>
              <w:left w:type="dxa" w:w="120"/>
              <w:bottom w:type="dxa" w:w="80"/>
              <w:right w:type="dxa" w:w="120"/>
            </w:tcMar>
          </w:tcPr>
          <w:p>
            <w:pPr>
              <w:spacing w:after="0" w:before="0"/>
            </w:pPr>
            <w:r>
              <w:rPr>
                <w:b w:val="false"/>
                <w:bCs w:val="false"/>
                <w:color w:val="0F172A"/>
                <w:sz w:val="19"/>
                <w:szCs w:val="19"/>
              </w:rPr>
              <w:t xml:space="preserve">3,60 t</w:t>
            </w:r>
          </w:p>
        </w:tc>
      </w:tr>
      <w:tr>
        <w:tc>
          <w:tcPr>
            <w:tcMar>
              <w:top w:type="dxa" w:w="80"/>
              <w:left w:type="dxa" w:w="120"/>
              <w:bottom w:type="dxa" w:w="80"/>
              <w:right w:type="dxa" w:w="120"/>
            </w:tcMar>
          </w:tcPr>
          <w:p>
            <w:pPr>
              <w:spacing w:after="0" w:before="0"/>
            </w:pPr>
            <w:r>
              <w:rPr>
                <w:b w:val="false"/>
                <w:bCs w:val="false"/>
                <w:color w:val="0F172A"/>
                <w:sz w:val="19"/>
                <w:szCs w:val="19"/>
              </w:rPr>
              <w:t xml:space="preserve">Alicatado de baños y cocina</w:t>
            </w:r>
          </w:p>
        </w:tc>
        <w:tc>
          <w:tcPr>
            <w:tcMar>
              <w:top w:type="dxa" w:w="80"/>
              <w:left w:type="dxa" w:w="120"/>
              <w:bottom w:type="dxa" w:w="80"/>
              <w:right w:type="dxa" w:w="120"/>
            </w:tcMar>
          </w:tcPr>
          <w:p>
            <w:pPr>
              <w:spacing w:after="0" w:before="0"/>
            </w:pPr>
            <w:r>
              <w:rPr>
                <w:b w:val="false"/>
                <w:bCs w:val="false"/>
                <w:color w:val="0F172A"/>
                <w:sz w:val="19"/>
                <w:szCs w:val="19"/>
              </w:rPr>
              <w:t xml:space="preserve">Ladrillos, tejas y materiales cerámicos</w:t>
            </w:r>
          </w:p>
        </w:tc>
        <w:tc>
          <w:tcPr>
            <w:tcMar>
              <w:top w:type="dxa" w:w="80"/>
              <w:left w:type="dxa" w:w="120"/>
              <w:bottom w:type="dxa" w:w="80"/>
              <w:right w:type="dxa" w:w="120"/>
            </w:tcMar>
          </w:tcPr>
          <w:p>
            <w:pPr>
              <w:spacing w:after="0" w:before="0"/>
            </w:pPr>
            <w:r>
              <w:rPr>
                <w:b w:val="false"/>
                <w:bCs w:val="false"/>
                <w:color w:val="0F172A"/>
                <w:sz w:val="19"/>
                <w:szCs w:val="19"/>
              </w:rPr>
              <w:t xml:space="preserve">62,00 m2</w:t>
            </w:r>
          </w:p>
        </w:tc>
        <w:tc>
          <w:tcPr>
            <w:tcMar>
              <w:top w:type="dxa" w:w="80"/>
              <w:left w:type="dxa" w:w="120"/>
              <w:bottom w:type="dxa" w:w="80"/>
              <w:right w:type="dxa" w:w="120"/>
            </w:tcMar>
          </w:tcPr>
          <w:p>
            <w:pPr>
              <w:spacing w:after="0" w:before="0"/>
            </w:pPr>
            <w:r>
              <w:rPr>
                <w:b w:val="false"/>
                <w:bCs w:val="false"/>
                <w:color w:val="0F172A"/>
                <w:sz w:val="19"/>
                <w:szCs w:val="19"/>
              </w:rPr>
              <w:t xml:space="preserve">1,24 m³</w:t>
            </w:r>
          </w:p>
        </w:tc>
        <w:tc>
          <w:tcPr>
            <w:tcMar>
              <w:top w:type="dxa" w:w="80"/>
              <w:left w:type="dxa" w:w="120"/>
              <w:bottom w:type="dxa" w:w="80"/>
              <w:right w:type="dxa" w:w="120"/>
            </w:tcMar>
          </w:tcPr>
          <w:p>
            <w:pPr>
              <w:spacing w:after="0" w:before="0"/>
            </w:pPr>
            <w:r>
              <w:rPr>
                <w:b w:val="false"/>
                <w:bCs w:val="false"/>
                <w:color w:val="0F172A"/>
                <w:sz w:val="19"/>
                <w:szCs w:val="19"/>
              </w:rPr>
              <w:t xml:space="preserve">1,67 m³</w:t>
            </w:r>
          </w:p>
        </w:tc>
        <w:tc>
          <w:tcPr>
            <w:tcMar>
              <w:top w:type="dxa" w:w="80"/>
              <w:left w:type="dxa" w:w="120"/>
              <w:bottom w:type="dxa" w:w="80"/>
              <w:right w:type="dxa" w:w="120"/>
            </w:tcMar>
          </w:tcPr>
          <w:p>
            <w:pPr>
              <w:spacing w:after="0" w:before="0"/>
            </w:pPr>
            <w:r>
              <w:rPr>
                <w:b w:val="false"/>
                <w:bCs w:val="false"/>
                <w:color w:val="0F172A"/>
                <w:sz w:val="19"/>
                <w:szCs w:val="19"/>
              </w:rPr>
              <w:t xml:space="preserve">1,55 t</w:t>
            </w:r>
          </w:p>
        </w:tc>
      </w:tr>
      <w:tr>
        <w:tc>
          <w:tcPr>
            <w:tcMar>
              <w:top w:type="dxa" w:w="80"/>
              <w:left w:type="dxa" w:w="120"/>
              <w:bottom w:type="dxa" w:w="80"/>
              <w:right w:type="dxa" w:w="120"/>
            </w:tcMar>
          </w:tcPr>
          <w:p>
            <w:pPr>
              <w:spacing w:after="0" w:before="0"/>
            </w:pPr>
            <w:r>
              <w:rPr>
                <w:b w:val="false"/>
                <w:bCs w:val="false"/>
                <w:color w:val="0F172A"/>
                <w:sz w:val="19"/>
                <w:szCs w:val="19"/>
              </w:rPr>
              <w:t xml:space="preserve">Tabiquería de ladrillo hueco</w:t>
            </w:r>
          </w:p>
        </w:tc>
        <w:tc>
          <w:tcPr>
            <w:tcMar>
              <w:top w:type="dxa" w:w="80"/>
              <w:left w:type="dxa" w:w="120"/>
              <w:bottom w:type="dxa" w:w="80"/>
              <w:right w:type="dxa" w:w="120"/>
            </w:tcMar>
          </w:tcPr>
          <w:p>
            <w:pPr>
              <w:spacing w:after="0" w:before="0"/>
            </w:pPr>
            <w:r>
              <w:rPr>
                <w:b w:val="false"/>
                <w:bCs w:val="false"/>
                <w:color w:val="0F172A"/>
                <w:sz w:val="19"/>
                <w:szCs w:val="19"/>
              </w:rPr>
              <w:t xml:space="preserve">Ladrillos</w:t>
            </w:r>
          </w:p>
        </w:tc>
        <w:tc>
          <w:tcPr>
            <w:tcMar>
              <w:top w:type="dxa" w:w="80"/>
              <w:left w:type="dxa" w:w="120"/>
              <w:bottom w:type="dxa" w:w="80"/>
              <w:right w:type="dxa" w:w="120"/>
            </w:tcMar>
          </w:tcPr>
          <w:p>
            <w:pPr>
              <w:spacing w:after="0" w:before="0"/>
            </w:pPr>
            <w:r>
              <w:rPr>
                <w:b w:val="false"/>
                <w:bCs w:val="false"/>
                <w:color w:val="0F172A"/>
                <w:sz w:val="19"/>
                <w:szCs w:val="19"/>
              </w:rPr>
              <w:t xml:space="preserve">74,00 m2</w:t>
            </w:r>
          </w:p>
        </w:tc>
        <w:tc>
          <w:tcPr>
            <w:tcMar>
              <w:top w:type="dxa" w:w="80"/>
              <w:left w:type="dxa" w:w="120"/>
              <w:bottom w:type="dxa" w:w="80"/>
              <w:right w:type="dxa" w:w="120"/>
            </w:tcMar>
          </w:tcPr>
          <w:p>
            <w:pPr>
              <w:spacing w:after="0" w:before="0"/>
            </w:pPr>
            <w:r>
              <w:rPr>
                <w:b w:val="false"/>
                <w:bCs w:val="false"/>
                <w:color w:val="0F172A"/>
                <w:sz w:val="19"/>
                <w:szCs w:val="19"/>
              </w:rPr>
              <w:t xml:space="preserve">5,18 m³</w:t>
            </w:r>
          </w:p>
        </w:tc>
        <w:tc>
          <w:tcPr>
            <w:tcMar>
              <w:top w:type="dxa" w:w="80"/>
              <w:left w:type="dxa" w:w="120"/>
              <w:bottom w:type="dxa" w:w="80"/>
              <w:right w:type="dxa" w:w="120"/>
            </w:tcMar>
          </w:tcPr>
          <w:p>
            <w:pPr>
              <w:spacing w:after="0" w:before="0"/>
            </w:pPr>
            <w:r>
              <w:rPr>
                <w:b w:val="false"/>
                <w:bCs w:val="false"/>
                <w:color w:val="0F172A"/>
                <w:sz w:val="19"/>
                <w:szCs w:val="19"/>
              </w:rPr>
              <w:t xml:space="preserve">6,99 m³</w:t>
            </w:r>
          </w:p>
        </w:tc>
        <w:tc>
          <w:tcPr>
            <w:tcMar>
              <w:top w:type="dxa" w:w="80"/>
              <w:left w:type="dxa" w:w="120"/>
              <w:bottom w:type="dxa" w:w="80"/>
              <w:right w:type="dxa" w:w="120"/>
            </w:tcMar>
          </w:tcPr>
          <w:p>
            <w:pPr>
              <w:spacing w:after="0" w:before="0"/>
            </w:pPr>
            <w:r>
              <w:rPr>
                <w:b w:val="false"/>
                <w:bCs w:val="false"/>
                <w:color w:val="0F172A"/>
                <w:sz w:val="19"/>
                <w:szCs w:val="19"/>
              </w:rPr>
              <w:t xml:space="preserve">6,48 t</w:t>
            </w:r>
          </w:p>
        </w:tc>
      </w:tr>
      <w:tr>
        <w:tc>
          <w:tcPr>
            <w:tcMar>
              <w:top w:type="dxa" w:w="80"/>
              <w:left w:type="dxa" w:w="120"/>
              <w:bottom w:type="dxa" w:w="80"/>
              <w:right w:type="dxa" w:w="120"/>
            </w:tcMar>
          </w:tcPr>
          <w:p>
            <w:pPr>
              <w:spacing w:after="0" w:before="0"/>
            </w:pPr>
            <w:r>
              <w:rPr>
                <w:b w:val="false"/>
                <w:bCs w:val="false"/>
                <w:color w:val="0F172A"/>
                <w:sz w:val="19"/>
                <w:szCs w:val="19"/>
              </w:rPr>
              <w:t xml:space="preserve">Falso techo de escayola</w:t>
            </w:r>
          </w:p>
        </w:tc>
        <w:tc>
          <w:tcPr>
            <w:tcMar>
              <w:top w:type="dxa" w:w="80"/>
              <w:left w:type="dxa" w:w="120"/>
              <w:bottom w:type="dxa" w:w="80"/>
              <w:right w:type="dxa" w:w="120"/>
            </w:tcMar>
          </w:tcPr>
          <w:p>
            <w:pPr>
              <w:spacing w:after="0" w:before="0"/>
            </w:pPr>
            <w:r>
              <w:rPr>
                <w:b w:val="false"/>
                <w:bCs w:val="false"/>
                <w:color w:val="0F172A"/>
                <w:sz w:val="19"/>
                <w:szCs w:val="19"/>
              </w:rPr>
              <w:t xml:space="preserve">Materiales de construcción a base de yeso</w:t>
            </w:r>
          </w:p>
        </w:tc>
        <w:tc>
          <w:tcPr>
            <w:tcMar>
              <w:top w:type="dxa" w:w="80"/>
              <w:left w:type="dxa" w:w="120"/>
              <w:bottom w:type="dxa" w:w="80"/>
              <w:right w:type="dxa" w:w="120"/>
            </w:tcMar>
          </w:tcPr>
          <w:p>
            <w:pPr>
              <w:spacing w:after="0" w:before="0"/>
            </w:pPr>
            <w:r>
              <w:rPr>
                <w:b w:val="false"/>
                <w:bCs w:val="false"/>
                <w:color w:val="0F172A"/>
                <w:sz w:val="19"/>
                <w:szCs w:val="19"/>
              </w:rPr>
              <w:t xml:space="preserve">38,00 m2</w:t>
            </w:r>
          </w:p>
        </w:tc>
        <w:tc>
          <w:tcPr>
            <w:tcMar>
              <w:top w:type="dxa" w:w="80"/>
              <w:left w:type="dxa" w:w="120"/>
              <w:bottom w:type="dxa" w:w="80"/>
              <w:right w:type="dxa" w:w="120"/>
            </w:tcMar>
          </w:tcPr>
          <w:p>
            <w:pPr>
              <w:spacing w:after="0" w:before="0"/>
            </w:pPr>
            <w:r>
              <w:rPr>
                <w:b w:val="false"/>
                <w:bCs w:val="false"/>
                <w:color w:val="0F172A"/>
                <w:sz w:val="19"/>
                <w:szCs w:val="19"/>
              </w:rPr>
              <w:t xml:space="preserve">0,76 m³</w:t>
            </w:r>
          </w:p>
        </w:tc>
        <w:tc>
          <w:tcPr>
            <w:tcMar>
              <w:top w:type="dxa" w:w="80"/>
              <w:left w:type="dxa" w:w="120"/>
              <w:bottom w:type="dxa" w:w="80"/>
              <w:right w:type="dxa" w:w="120"/>
            </w:tcMar>
          </w:tcPr>
          <w:p>
            <w:pPr>
              <w:spacing w:after="0" w:before="0"/>
            </w:pPr>
            <w:r>
              <w:rPr>
                <w:b w:val="false"/>
                <w:bCs w:val="false"/>
                <w:color w:val="0F172A"/>
                <w:sz w:val="19"/>
                <w:szCs w:val="19"/>
              </w:rPr>
              <w:t xml:space="preserve">1,03 m³</w:t>
            </w:r>
          </w:p>
        </w:tc>
        <w:tc>
          <w:tcPr>
            <w:tcMar>
              <w:top w:type="dxa" w:w="80"/>
              <w:left w:type="dxa" w:w="120"/>
              <w:bottom w:type="dxa" w:w="80"/>
              <w:right w:type="dxa" w:w="120"/>
            </w:tcMar>
          </w:tcPr>
          <w:p>
            <w:pPr>
              <w:spacing w:after="0" w:before="0"/>
            </w:pPr>
            <w:r>
              <w:rPr>
                <w:b w:val="false"/>
                <w:bCs w:val="false"/>
                <w:color w:val="0F172A"/>
                <w:sz w:val="19"/>
                <w:szCs w:val="19"/>
              </w:rPr>
              <w:t xml:space="preserve">0,76 t</w:t>
            </w:r>
          </w:p>
        </w:tc>
      </w:tr>
      <w:tr>
        <w:tc>
          <w:tcPr>
            <w:tcMar>
              <w:top w:type="dxa" w:w="80"/>
              <w:left w:type="dxa" w:w="120"/>
              <w:bottom w:type="dxa" w:w="80"/>
              <w:right w:type="dxa" w:w="120"/>
            </w:tcMar>
          </w:tcPr>
          <w:p>
            <w:pPr>
              <w:spacing w:after="0" w:before="0"/>
            </w:pPr>
            <w:r>
              <w:rPr>
                <w:b w:val="false"/>
                <w:bCs w:val="false"/>
                <w:color w:val="0F172A"/>
                <w:sz w:val="19"/>
                <w:szCs w:val="19"/>
              </w:rPr>
              <w:t xml:space="preserve">Carpintería interior de madera</w:t>
            </w:r>
          </w:p>
        </w:tc>
        <w:tc>
          <w:tcPr>
            <w:tcMar>
              <w:top w:type="dxa" w:w="80"/>
              <w:left w:type="dxa" w:w="120"/>
              <w:bottom w:type="dxa" w:w="80"/>
              <w:right w:type="dxa" w:w="120"/>
            </w:tcMar>
          </w:tcPr>
          <w:p>
            <w:pPr>
              <w:spacing w:after="0" w:before="0"/>
            </w:pPr>
            <w:r>
              <w:rPr>
                <w:b w:val="false"/>
                <w:bCs w:val="false"/>
                <w:color w:val="0F172A"/>
                <w:sz w:val="19"/>
                <w:szCs w:val="19"/>
              </w:rPr>
              <w:t xml:space="preserve">Madera</w:t>
            </w:r>
          </w:p>
        </w:tc>
        <w:tc>
          <w:tcPr>
            <w:tcMar>
              <w:top w:type="dxa" w:w="80"/>
              <w:left w:type="dxa" w:w="120"/>
              <w:bottom w:type="dxa" w:w="80"/>
              <w:right w:type="dxa" w:w="120"/>
            </w:tcMar>
          </w:tcPr>
          <w:p>
            <w:pPr>
              <w:spacing w:after="0" w:before="0"/>
            </w:pPr>
            <w:r>
              <w:rPr>
                <w:b w:val="false"/>
                <w:bCs w:val="false"/>
                <w:color w:val="0F172A"/>
                <w:sz w:val="19"/>
                <w:szCs w:val="19"/>
              </w:rPr>
              <w:t xml:space="preserve">1,20 m3</w:t>
            </w:r>
          </w:p>
        </w:tc>
        <w:tc>
          <w:tcPr>
            <w:tcMar>
              <w:top w:type="dxa" w:w="80"/>
              <w:left w:type="dxa" w:w="120"/>
              <w:bottom w:type="dxa" w:w="80"/>
              <w:right w:type="dxa" w:w="120"/>
            </w:tcMar>
          </w:tcPr>
          <w:p>
            <w:pPr>
              <w:spacing w:after="0" w:before="0"/>
            </w:pPr>
            <w:r>
              <w:rPr>
                <w:b w:val="false"/>
                <w:bCs w:val="false"/>
                <w:color w:val="0F172A"/>
                <w:sz w:val="19"/>
                <w:szCs w:val="19"/>
              </w:rPr>
              <w:t xml:space="preserve">1,20 m³</w:t>
            </w:r>
          </w:p>
        </w:tc>
        <w:tc>
          <w:tcPr>
            <w:tcMar>
              <w:top w:type="dxa" w:w="80"/>
              <w:left w:type="dxa" w:w="120"/>
              <w:bottom w:type="dxa" w:w="80"/>
              <w:right w:type="dxa" w:w="120"/>
            </w:tcMar>
          </w:tcPr>
          <w:p>
            <w:pPr>
              <w:spacing w:after="0" w:before="0"/>
            </w:pPr>
            <w:r>
              <w:rPr>
                <w:b w:val="false"/>
                <w:bCs w:val="false"/>
                <w:color w:val="0F172A"/>
                <w:sz w:val="19"/>
                <w:szCs w:val="19"/>
              </w:rPr>
              <w:t xml:space="preserve">1,62 m³</w:t>
            </w:r>
          </w:p>
        </w:tc>
        <w:tc>
          <w:tcPr>
            <w:tcMar>
              <w:top w:type="dxa" w:w="80"/>
              <w:left w:type="dxa" w:w="120"/>
              <w:bottom w:type="dxa" w:w="80"/>
              <w:right w:type="dxa" w:w="120"/>
            </w:tcMar>
          </w:tcPr>
          <w:p>
            <w:pPr>
              <w:spacing w:after="0" w:before="0"/>
            </w:pPr>
            <w:r>
              <w:rPr>
                <w:b w:val="false"/>
                <w:bCs w:val="false"/>
                <w:color w:val="0F172A"/>
                <w:sz w:val="19"/>
                <w:szCs w:val="19"/>
              </w:rPr>
              <w:t xml:space="preserve">0,72 t</w:t>
            </w:r>
          </w:p>
        </w:tc>
      </w:tr>
      <w:tr>
        <w:tc>
          <w:tcPr>
            <w:tcMar>
              <w:top w:type="dxa" w:w="80"/>
              <w:left w:type="dxa" w:w="120"/>
              <w:bottom w:type="dxa" w:w="80"/>
              <w:right w:type="dxa" w:w="120"/>
            </w:tcMar>
          </w:tcPr>
          <w:p>
            <w:pPr>
              <w:spacing w:after="0" w:before="0"/>
            </w:pPr>
            <w:r>
              <w:rPr>
                <w:b/>
                <w:bCs/>
                <w:color w:val="0F172A"/>
                <w:sz w:val="19"/>
                <w:szCs w:val="19"/>
              </w:rPr>
              <w:t xml:space="preserve">Total</w:t>
            </w:r>
          </w:p>
        </w:tc>
        <w:tc>
          <w:tcPr>
            <w:tcMar>
              <w:top w:type="dxa" w:w="80"/>
              <w:left w:type="dxa" w:w="120"/>
              <w:bottom w:type="dxa" w:w="80"/>
              <w:right w:type="dxa" w:w="120"/>
            </w:tcMar>
          </w:tcPr>
          <w:p>
            <w:pPr>
              <w:spacing w:after="0" w:before="0"/>
            </w:pPr>
            <w:r>
              <w:rPr>
                <w:b w:val="false"/>
                <w:bCs w:val="false"/>
                <w:color w:val="0F172A"/>
                <w:sz w:val="19"/>
                <w:szCs w:val="19"/>
              </w:rPr>
              <w:t xml:space="preserve"/>
            </w:r>
          </w:p>
        </w:tc>
        <w:tc>
          <w:tcPr>
            <w:tcMar>
              <w:top w:type="dxa" w:w="80"/>
              <w:left w:type="dxa" w:w="120"/>
              <w:bottom w:type="dxa" w:w="80"/>
              <w:right w:type="dxa" w:w="120"/>
            </w:tcMar>
          </w:tcPr>
          <w:p>
            <w:pPr>
              <w:spacing w:after="0" w:before="0"/>
            </w:pPr>
            <w:r>
              <w:rPr>
                <w:b w:val="false"/>
                <w:bCs w:val="false"/>
                <w:color w:val="0F172A"/>
                <w:sz w:val="19"/>
                <w:szCs w:val="19"/>
              </w:rPr>
              <w:t xml:space="preserve"/>
            </w:r>
          </w:p>
        </w:tc>
        <w:tc>
          <w:tcPr>
            <w:tcMar>
              <w:top w:type="dxa" w:w="80"/>
              <w:left w:type="dxa" w:w="120"/>
              <w:bottom w:type="dxa" w:w="80"/>
              <w:right w:type="dxa" w:w="120"/>
            </w:tcMar>
          </w:tcPr>
          <w:p>
            <w:pPr>
              <w:spacing w:after="0" w:before="0"/>
            </w:pPr>
            <w:r>
              <w:rPr>
                <w:b/>
                <w:bCs/>
                <w:color w:val="0F172A"/>
                <w:sz w:val="19"/>
                <w:szCs w:val="19"/>
              </w:rPr>
              <w:t xml:space="preserve">11,26 m³</w:t>
            </w:r>
          </w:p>
        </w:tc>
        <w:tc>
          <w:tcPr>
            <w:tcMar>
              <w:top w:type="dxa" w:w="80"/>
              <w:left w:type="dxa" w:w="120"/>
              <w:bottom w:type="dxa" w:w="80"/>
              <w:right w:type="dxa" w:w="120"/>
            </w:tcMar>
          </w:tcPr>
          <w:p>
            <w:pPr>
              <w:spacing w:after="0" w:before="0"/>
            </w:pPr>
            <w:r>
              <w:rPr>
                <w:b w:val="false"/>
                <w:bCs w:val="false"/>
                <w:color w:val="0F172A"/>
                <w:sz w:val="19"/>
                <w:szCs w:val="19"/>
              </w:rPr>
              <w:t xml:space="preserve"/>
            </w:r>
          </w:p>
        </w:tc>
        <w:tc>
          <w:tcPr>
            <w:tcMar>
              <w:top w:type="dxa" w:w="80"/>
              <w:left w:type="dxa" w:w="120"/>
              <w:bottom w:type="dxa" w:w="80"/>
              <w:right w:type="dxa" w:w="120"/>
            </w:tcMar>
          </w:tcPr>
          <w:p>
            <w:pPr>
              <w:spacing w:after="0" w:before="0"/>
            </w:pPr>
            <w:r>
              <w:rPr>
                <w:b/>
                <w:bCs/>
                <w:color w:val="0F172A"/>
                <w:sz w:val="19"/>
                <w:szCs w:val="19"/>
              </w:rPr>
              <w:t xml:space="preserve">13,11 t</w:t>
            </w:r>
          </w:p>
        </w:tc>
      </w:tr>
    </w:tbl>
    <w:p>
      <w:pPr>
        <w:spacing w:after="160"/>
      </w:pPr>
    </w:p>
    <w:p>
      <w:pPr>
        <w:pStyle w:val="Heading2"/>
        <w:spacing w:after="140" w:before="320"/>
      </w:pPr>
      <w:r>
        <w:rPr>
          <w:b w:val="false"/>
          <w:bCs w:val="false"/>
        </w:rPr>
        <w:t xml:space="preserve">2. Por fracción, con su código LER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Fracción</w:t>
            </w:r>
          </w:p>
        </w:tc>
        <w:tc>
          <w:tcPr>
            <w:shd w:fill="F1F5F9" w:val="clear"/>
            <w:tcMar>
              <w:top w:type="dxa" w:w="80"/>
              <w:left w:type="dxa" w:w="120"/>
              <w:bottom w:type="dxa" w:w="80"/>
              <w:right w:type="dxa" w:w="120"/>
            </w:tcMar>
          </w:tcPr>
          <w:p>
            <w:pPr>
              <w:spacing w:after="0" w:before="0"/>
            </w:pPr>
            <w:r>
              <w:rPr>
                <w:b/>
                <w:bCs/>
                <w:color w:val="0F172A"/>
                <w:sz w:val="19"/>
                <w:szCs w:val="19"/>
              </w:rPr>
              <w:t xml:space="preserve">Código LER</w:t>
            </w:r>
          </w:p>
        </w:tc>
        <w:tc>
          <w:tcPr>
            <w:shd w:fill="F1F5F9" w:val="clear"/>
            <w:tcMar>
              <w:top w:type="dxa" w:w="80"/>
              <w:left w:type="dxa" w:w="120"/>
              <w:bottom w:type="dxa" w:w="80"/>
              <w:right w:type="dxa" w:w="120"/>
            </w:tcMar>
          </w:tcPr>
          <w:p>
            <w:pPr>
              <w:spacing w:after="0" w:before="0"/>
            </w:pPr>
            <w:r>
              <w:rPr>
                <w:b/>
                <w:bCs/>
                <w:color w:val="0F172A"/>
                <w:sz w:val="19"/>
                <w:szCs w:val="19"/>
              </w:rPr>
              <w:t xml:space="preserve">Toneladas</w:t>
            </w:r>
          </w:p>
        </w:tc>
        <w:tc>
          <w:tcPr>
            <w:shd w:fill="F1F5F9" w:val="clear"/>
            <w:tcMar>
              <w:top w:type="dxa" w:w="80"/>
              <w:left w:type="dxa" w:w="120"/>
              <w:bottom w:type="dxa" w:w="80"/>
              <w:right w:type="dxa" w:w="120"/>
            </w:tcMar>
          </w:tcPr>
          <w:p>
            <w:pPr>
              <w:spacing w:after="0" w:before="0"/>
            </w:pPr>
            <w:r>
              <w:rPr>
                <w:b/>
                <w:bCs/>
                <w:color w:val="0F172A"/>
                <w:sz w:val="19"/>
                <w:szCs w:val="19"/>
              </w:rPr>
              <w:t xml:space="preserve">Umbral del art. 5.5</w:t>
            </w:r>
          </w:p>
        </w:tc>
        <w:tc>
          <w:tcPr>
            <w:shd w:fill="F1F5F9" w:val="clear"/>
            <w:tcMar>
              <w:top w:type="dxa" w:w="80"/>
              <w:left w:type="dxa" w:w="120"/>
              <w:bottom w:type="dxa" w:w="80"/>
              <w:right w:type="dxa" w:w="120"/>
            </w:tcMar>
          </w:tcPr>
          <w:p>
            <w:pPr>
              <w:spacing w:after="0" w:before="0"/>
            </w:pPr>
            <w:r>
              <w:rPr>
                <w:b/>
                <w:bCs/>
                <w:color w:val="0F172A"/>
                <w:sz w:val="19"/>
                <w:szCs w:val="19"/>
              </w:rPr>
              <w:t xml:space="preserve">Separación</w:t>
            </w:r>
          </w:p>
        </w:tc>
      </w:tr>
      <w:tr>
        <w:tc>
          <w:tcPr>
            <w:tcMar>
              <w:top w:type="dxa" w:w="80"/>
              <w:left w:type="dxa" w:w="120"/>
              <w:bottom w:type="dxa" w:w="80"/>
              <w:right w:type="dxa" w:w="120"/>
            </w:tcMar>
          </w:tcPr>
          <w:p>
            <w:pPr>
              <w:spacing w:after="0" w:before="0"/>
            </w:pPr>
            <w:r>
              <w:rPr>
                <w:b w:val="false"/>
                <w:bCs w:val="false"/>
                <w:color w:val="0F172A"/>
                <w:sz w:val="19"/>
                <w:szCs w:val="19"/>
              </w:rPr>
              <w:t xml:space="preserve">Ladrillos, tejas y cerámicos</w:t>
            </w:r>
          </w:p>
        </w:tc>
        <w:tc>
          <w:tcPr>
            <w:tcMar>
              <w:top w:type="dxa" w:w="80"/>
              <w:left w:type="dxa" w:w="120"/>
              <w:bottom w:type="dxa" w:w="80"/>
              <w:right w:type="dxa" w:w="120"/>
            </w:tcMar>
          </w:tcPr>
          <w:p>
            <w:pPr>
              <w:spacing w:after="0" w:before="0"/>
            </w:pPr>
            <w:r>
              <w:rPr>
                <w:b w:val="false"/>
                <w:bCs w:val="false"/>
                <w:color w:val="0F172A"/>
                <w:sz w:val="19"/>
                <w:szCs w:val="19"/>
              </w:rPr>
              <w:t xml:space="preserve">17 01 07, 17 01 02</w:t>
            </w:r>
          </w:p>
        </w:tc>
        <w:tc>
          <w:tcPr>
            <w:tcMar>
              <w:top w:type="dxa" w:w="80"/>
              <w:left w:type="dxa" w:w="120"/>
              <w:bottom w:type="dxa" w:w="80"/>
              <w:right w:type="dxa" w:w="120"/>
            </w:tcMar>
          </w:tcPr>
          <w:p>
            <w:pPr>
              <w:spacing w:after="0" w:before="0"/>
            </w:pPr>
            <w:r>
              <w:rPr>
                <w:b w:val="false"/>
                <w:bCs w:val="false"/>
                <w:color w:val="0F172A"/>
                <w:sz w:val="19"/>
                <w:szCs w:val="19"/>
              </w:rPr>
              <w:t xml:space="preserve">11,63 t</w:t>
            </w:r>
          </w:p>
        </w:tc>
        <w:tc>
          <w:tcPr>
            <w:tcMar>
              <w:top w:type="dxa" w:w="80"/>
              <w:left w:type="dxa" w:w="120"/>
              <w:bottom w:type="dxa" w:w="80"/>
              <w:right w:type="dxa" w:w="120"/>
            </w:tcMar>
          </w:tcPr>
          <w:p>
            <w:pPr>
              <w:spacing w:after="0" w:before="0"/>
            </w:pPr>
            <w:r>
              <w:rPr>
                <w:b w:val="false"/>
                <w:bCs w:val="false"/>
                <w:color w:val="0F172A"/>
                <w:sz w:val="19"/>
                <w:szCs w:val="19"/>
              </w:rPr>
              <w:t xml:space="preserve">40,00 t</w:t>
            </w:r>
          </w:p>
        </w:tc>
        <w:tc>
          <w:tcPr>
            <w:tcMar>
              <w:top w:type="dxa" w:w="80"/>
              <w:left w:type="dxa" w:w="120"/>
              <w:bottom w:type="dxa" w:w="80"/>
              <w:right w:type="dxa" w:w="120"/>
            </w:tcMar>
          </w:tcPr>
          <w:p>
            <w:pPr>
              <w:spacing w:after="0" w:before="0"/>
            </w:pPr>
            <w:r>
              <w:rPr>
                <w:b w:val="false"/>
                <w:bCs w:val="false"/>
                <w:color w:val="0F172A"/>
                <w:sz w:val="19"/>
                <w:szCs w:val="19"/>
              </w:rPr>
              <w:t xml:space="preserve">No obligatoria</w:t>
            </w:r>
          </w:p>
        </w:tc>
      </w:tr>
      <w:tr>
        <w:tc>
          <w:tcPr>
            <w:tcMar>
              <w:top w:type="dxa" w:w="80"/>
              <w:left w:type="dxa" w:w="120"/>
              <w:bottom w:type="dxa" w:w="80"/>
              <w:right w:type="dxa" w:w="120"/>
            </w:tcMar>
          </w:tcPr>
          <w:p>
            <w:pPr>
              <w:spacing w:after="0" w:before="0"/>
            </w:pPr>
            <w:r>
              <w:rPr>
                <w:b w:val="false"/>
                <w:bCs w:val="false"/>
                <w:color w:val="0F172A"/>
                <w:sz w:val="19"/>
                <w:szCs w:val="19"/>
              </w:rPr>
              <w:t xml:space="preserve">Yeso y escayola</w:t>
            </w:r>
          </w:p>
        </w:tc>
        <w:tc>
          <w:tcPr>
            <w:tcMar>
              <w:top w:type="dxa" w:w="80"/>
              <w:left w:type="dxa" w:w="120"/>
              <w:bottom w:type="dxa" w:w="80"/>
              <w:right w:type="dxa" w:w="120"/>
            </w:tcMar>
          </w:tcPr>
          <w:p>
            <w:pPr>
              <w:spacing w:after="0" w:before="0"/>
            </w:pPr>
            <w:r>
              <w:rPr>
                <w:b w:val="false"/>
                <w:bCs w:val="false"/>
                <w:color w:val="0F172A"/>
                <w:sz w:val="19"/>
                <w:szCs w:val="19"/>
              </w:rPr>
              <w:t xml:space="preserve">17 08 02</w:t>
            </w:r>
          </w:p>
        </w:tc>
        <w:tc>
          <w:tcPr>
            <w:tcMar>
              <w:top w:type="dxa" w:w="80"/>
              <w:left w:type="dxa" w:w="120"/>
              <w:bottom w:type="dxa" w:w="80"/>
              <w:right w:type="dxa" w:w="120"/>
            </w:tcMar>
          </w:tcPr>
          <w:p>
            <w:pPr>
              <w:spacing w:after="0" w:before="0"/>
            </w:pPr>
            <w:r>
              <w:rPr>
                <w:b w:val="false"/>
                <w:bCs w:val="false"/>
                <w:color w:val="0F172A"/>
                <w:sz w:val="19"/>
                <w:szCs w:val="19"/>
              </w:rPr>
              <w:t xml:space="preserve">0,76 t</w:t>
            </w:r>
          </w:p>
        </w:tc>
        <w:tc>
          <w:tcPr>
            <w:tcMar>
              <w:top w:type="dxa" w:w="80"/>
              <w:left w:type="dxa" w:w="120"/>
              <w:bottom w:type="dxa" w:w="80"/>
              <w:right w:type="dxa" w:w="120"/>
            </w:tcMar>
          </w:tcPr>
          <w:p>
            <w:pPr>
              <w:spacing w:after="0" w:before="0"/>
            </w:pPr>
            <w:r>
              <w:rPr>
                <w:b w:val="false"/>
                <w:bCs w:val="false"/>
                <w:color w:val="0F172A"/>
                <w:sz w:val="19"/>
                <w:szCs w:val="19"/>
              </w:rPr>
              <w:t xml:space="preserve">—</w:t>
            </w:r>
          </w:p>
        </w:tc>
        <w:tc>
          <w:tcPr>
            <w:tcMar>
              <w:top w:type="dxa" w:w="80"/>
              <w:left w:type="dxa" w:w="120"/>
              <w:bottom w:type="dxa" w:w="80"/>
              <w:right w:type="dxa" w:w="120"/>
            </w:tcMar>
          </w:tcPr>
          <w:p>
            <w:pPr>
              <w:spacing w:after="0" w:before="0"/>
            </w:pPr>
            <w:r>
              <w:rPr>
                <w:b w:val="false"/>
                <w:bCs w:val="false"/>
                <w:color w:val="0F172A"/>
                <w:sz w:val="19"/>
                <w:szCs w:val="19"/>
              </w:rPr>
              <w:t xml:space="preserve">No obligatoria</w:t>
            </w:r>
          </w:p>
        </w:tc>
      </w:tr>
      <w:tr>
        <w:tc>
          <w:tcPr>
            <w:tcMar>
              <w:top w:type="dxa" w:w="80"/>
              <w:left w:type="dxa" w:w="120"/>
              <w:bottom w:type="dxa" w:w="80"/>
              <w:right w:type="dxa" w:w="120"/>
            </w:tcMar>
          </w:tcPr>
          <w:p>
            <w:pPr>
              <w:spacing w:after="0" w:before="0"/>
            </w:pPr>
            <w:r>
              <w:rPr>
                <w:b w:val="false"/>
                <w:bCs w:val="false"/>
                <w:color w:val="0F172A"/>
                <w:sz w:val="19"/>
                <w:szCs w:val="19"/>
              </w:rPr>
              <w:t xml:space="preserve">Madera</w:t>
            </w:r>
          </w:p>
        </w:tc>
        <w:tc>
          <w:tcPr>
            <w:tcMar>
              <w:top w:type="dxa" w:w="80"/>
              <w:left w:type="dxa" w:w="120"/>
              <w:bottom w:type="dxa" w:w="80"/>
              <w:right w:type="dxa" w:w="120"/>
            </w:tcMar>
          </w:tcPr>
          <w:p>
            <w:pPr>
              <w:spacing w:after="0" w:before="0"/>
            </w:pPr>
            <w:r>
              <w:rPr>
                <w:b w:val="false"/>
                <w:bCs w:val="false"/>
                <w:color w:val="0F172A"/>
                <w:sz w:val="19"/>
                <w:szCs w:val="19"/>
              </w:rPr>
              <w:t xml:space="preserve">17 02 01</w:t>
            </w:r>
          </w:p>
        </w:tc>
        <w:tc>
          <w:tcPr>
            <w:tcMar>
              <w:top w:type="dxa" w:w="80"/>
              <w:left w:type="dxa" w:w="120"/>
              <w:bottom w:type="dxa" w:w="80"/>
              <w:right w:type="dxa" w:w="120"/>
            </w:tcMar>
          </w:tcPr>
          <w:p>
            <w:pPr>
              <w:spacing w:after="0" w:before="0"/>
            </w:pPr>
            <w:r>
              <w:rPr>
                <w:b w:val="false"/>
                <w:bCs w:val="false"/>
                <w:color w:val="0F172A"/>
                <w:sz w:val="19"/>
                <w:szCs w:val="19"/>
              </w:rPr>
              <w:t xml:space="preserve">0,72 t</w:t>
            </w:r>
          </w:p>
        </w:tc>
        <w:tc>
          <w:tcPr>
            <w:tcMar>
              <w:top w:type="dxa" w:w="80"/>
              <w:left w:type="dxa" w:w="120"/>
              <w:bottom w:type="dxa" w:w="80"/>
              <w:right w:type="dxa" w:w="120"/>
            </w:tcMar>
          </w:tcPr>
          <w:p>
            <w:pPr>
              <w:spacing w:after="0" w:before="0"/>
            </w:pPr>
            <w:r>
              <w:rPr>
                <w:b w:val="false"/>
                <w:bCs w:val="false"/>
                <w:color w:val="0F172A"/>
                <w:sz w:val="19"/>
                <w:szCs w:val="19"/>
              </w:rPr>
              <w:t xml:space="preserve">1,00 t</w:t>
            </w:r>
          </w:p>
        </w:tc>
        <w:tc>
          <w:tcPr>
            <w:tcMar>
              <w:top w:type="dxa" w:w="80"/>
              <w:left w:type="dxa" w:w="120"/>
              <w:bottom w:type="dxa" w:w="80"/>
              <w:right w:type="dxa" w:w="120"/>
            </w:tcMar>
          </w:tcPr>
          <w:p>
            <w:pPr>
              <w:spacing w:after="0" w:before="0"/>
            </w:pPr>
            <w:r>
              <w:rPr>
                <w:b w:val="false"/>
                <w:bCs w:val="false"/>
                <w:color w:val="0F172A"/>
                <w:sz w:val="19"/>
                <w:szCs w:val="19"/>
              </w:rPr>
              <w:t xml:space="preserve">No obligatoria</w:t>
            </w:r>
          </w:p>
        </w:tc>
      </w:tr>
    </w:tbl>
    <w:p>
      <w:pPr>
        <w:spacing w:after="160"/>
      </w:pPr>
    </w:p>
    <w:p>
      <w:pPr>
        <w:spacing w:after="140"/>
      </w:pPr>
      <w:r>
        <w:rPr>
          <w:b w:val="false"/>
          <w:bCs w:val="false"/>
        </w:rPr>
        <w:t xml:space="preserve">Los códigos son de la lista europea de residuos publicada por la Orden MAM/304/2002. El asterisco marca los peligrosos.</w:t>
      </w:r>
    </w:p>
    <w:p>
      <w:pPr>
        <w:pStyle w:val="Heading2"/>
        <w:spacing w:after="140" w:before="320"/>
      </w:pPr>
      <w:r>
        <w:rPr>
          <w:b w:val="false"/>
          <w:bCs w:val="false"/>
        </w:rPr>
        <w:t xml:space="preserve">3. Medidas de prevención</w:t>
      </w:r>
    </w:p>
    <w:p>
      <w:pPr>
        <w:spacing w:after="60"/>
        <w:ind w:left="340" w:hanging="240"/>
      </w:pPr>
      <w:r>
        <w:rPr>
          <w:b/>
          <w:bCs/>
          <w:color w:val="1D4ED8"/>
        </w:rPr>
        <w:t xml:space="preserve">•	</w:t>
      </w:r>
      <w:r>
        <w:rPr>
          <w:b w:val="false"/>
          <w:bCs w:val="false"/>
        </w:rPr>
        <w:t xml:space="preserve">Demolición selectiva: se retiran primero carpinterías, aparatos sanitarios e instalaciones aprovechables, antes de tirar tabiquería.</w:t>
      </w:r>
    </w:p>
    <w:p>
      <w:pPr>
        <w:spacing w:after="60"/>
        <w:ind w:left="340" w:hanging="240"/>
      </w:pPr>
      <w:r>
        <w:rPr>
          <w:b/>
          <w:bCs/>
          <w:color w:val="1D4ED8"/>
        </w:rPr>
        <w:t xml:space="preserve">•	</w:t>
      </w:r>
      <w:r>
        <w:rPr>
          <w:b w:val="false"/>
          <w:bCs w:val="false"/>
        </w:rPr>
        <w:t xml:space="preserve">Se ajusta el acopio de material nuevo a la medición, para no generar sobrantes que acaben en el mismo contenedor.</w:t>
      </w:r>
    </w:p>
    <w:p>
      <w:pPr>
        <w:spacing w:after="60"/>
        <w:ind w:left="340" w:hanging="240"/>
      </w:pPr>
      <w:r>
        <w:rPr>
          <w:b/>
          <w:bCs/>
          <w:color w:val="1D4ED8"/>
        </w:rPr>
        <w:t xml:space="preserve">•	</w:t>
      </w:r>
      <w:r>
        <w:rPr>
          <w:b w:val="false"/>
          <w:bCs w:val="false"/>
        </w:rPr>
        <w:t xml:space="preserve">Los embalajes se devuelven al proveedor cuando el suministro lo permita.</w:t>
      </w:r>
    </w:p>
    <w:p>
      <w:pPr>
        <w:spacing w:after="60"/>
        <w:ind w:left="340" w:hanging="240"/>
      </w:pPr>
      <w:r>
        <w:rPr>
          <w:b/>
          <w:bCs/>
          <w:color w:val="1D4ED8"/>
        </w:rPr>
        <w:t xml:space="preserve">•	</w:t>
      </w:r>
      <w:r>
        <w:rPr>
          <w:b w:val="false"/>
          <w:bCs w:val="false"/>
        </w:rPr>
        <w:t xml:space="preserve">El yeso se retira en fracción propia: mezclado con el resto contamina el árido reciclado y sube el canon de todo el contenedor.</w:t>
      </w:r>
    </w:p>
    <w:p>
      <w:pPr>
        <w:pStyle w:val="Heading2"/>
        <w:spacing w:after="140" w:before="320"/>
      </w:pPr>
      <w:r>
        <w:rPr>
          <w:b w:val="false"/>
          <w:bCs w:val="false"/>
        </w:rPr>
        <w:t xml:space="preserve">4. Operaciones de destino</w:t>
      </w:r>
    </w:p>
    <w:p>
      <w:pPr>
        <w:spacing w:after="140"/>
      </w:pPr>
      <w:r>
        <w:rPr>
          <w:b w:val="false"/>
          <w:bCs w:val="false"/>
        </w:rPr>
        <w:t xml:space="preserve">Por este orden: reutilización, reciclado y otras formas de valorización; la eliminación en vertedero es la última opción.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Fracción</w:t>
            </w:r>
          </w:p>
        </w:tc>
        <w:tc>
          <w:tcPr>
            <w:shd w:fill="F1F5F9" w:val="clear"/>
            <w:tcMar>
              <w:top w:type="dxa" w:w="80"/>
              <w:left w:type="dxa" w:w="120"/>
              <w:bottom w:type="dxa" w:w="80"/>
              <w:right w:type="dxa" w:w="120"/>
            </w:tcMar>
          </w:tcPr>
          <w:p>
            <w:pPr>
              <w:spacing w:after="0" w:before="0"/>
            </w:pPr>
            <w:r>
              <w:rPr>
                <w:b/>
                <w:bCs/>
                <w:color w:val="0F172A"/>
                <w:sz w:val="19"/>
                <w:szCs w:val="19"/>
              </w:rPr>
              <w:t xml:space="preserve">Destino previsto</w:t>
            </w:r>
          </w:p>
        </w:tc>
      </w:tr>
      <w:tr>
        <w:tc>
          <w:tcPr>
            <w:tcMar>
              <w:top w:type="dxa" w:w="80"/>
              <w:left w:type="dxa" w:w="120"/>
              <w:bottom w:type="dxa" w:w="80"/>
              <w:right w:type="dxa" w:w="120"/>
            </w:tcMar>
          </w:tcPr>
          <w:p>
            <w:pPr>
              <w:spacing w:after="0" w:before="0"/>
            </w:pPr>
            <w:r>
              <w:rPr>
                <w:b w:val="false"/>
                <w:bCs w:val="false"/>
                <w:color w:val="0F172A"/>
                <w:sz w:val="19"/>
                <w:szCs w:val="19"/>
              </w:rPr>
              <w:t xml:space="preserve">Ladrillos, tejas y cerámicos</w:t>
            </w:r>
          </w:p>
        </w:tc>
        <w:tc>
          <w:tcPr>
            <w:tcMar>
              <w:top w:type="dxa" w:w="80"/>
              <w:left w:type="dxa" w:w="120"/>
              <w:bottom w:type="dxa" w:w="80"/>
              <w:right w:type="dxa" w:w="120"/>
            </w:tcMar>
          </w:tcPr>
          <w:p>
            <w:pPr>
              <w:spacing w:after="0" w:before="0"/>
            </w:pPr>
            <w:r>
              <w:rPr>
                <w:b w:val="false"/>
                <w:bCs w:val="false"/>
                <w:color w:val="0F172A"/>
                <w:sz w:val="19"/>
                <w:szCs w:val="19"/>
              </w:rPr>
              <w:t xml:space="preserve">Gestión de RCD del Segura S.L. · Planta de tratamiento de RCD de Murcia</w:t>
            </w:r>
          </w:p>
        </w:tc>
      </w:tr>
      <w:tr>
        <w:tc>
          <w:tcPr>
            <w:tcMar>
              <w:top w:type="dxa" w:w="80"/>
              <w:left w:type="dxa" w:w="120"/>
              <w:bottom w:type="dxa" w:w="80"/>
              <w:right w:type="dxa" w:w="120"/>
            </w:tcMar>
          </w:tcPr>
          <w:p>
            <w:pPr>
              <w:spacing w:after="0" w:before="0"/>
            </w:pPr>
            <w:r>
              <w:rPr>
                <w:b w:val="false"/>
                <w:bCs w:val="false"/>
                <w:color w:val="0F172A"/>
                <w:sz w:val="19"/>
                <w:szCs w:val="19"/>
              </w:rPr>
              <w:t xml:space="preserve">Yeso y escayola</w:t>
            </w:r>
          </w:p>
        </w:tc>
        <w:tc>
          <w:tcPr>
            <w:tcMar>
              <w:top w:type="dxa" w:w="80"/>
              <w:left w:type="dxa" w:w="120"/>
              <w:bottom w:type="dxa" w:w="80"/>
              <w:right w:type="dxa" w:w="120"/>
            </w:tcMar>
          </w:tcPr>
          <w:p>
            <w:pPr>
              <w:spacing w:after="0" w:before="0"/>
            </w:pPr>
            <w:r>
              <w:rPr>
                <w:b w:val="false"/>
                <w:bCs w:val="false"/>
                <w:color w:val="0F172A"/>
                <w:sz w:val="19"/>
                <w:szCs w:val="19"/>
              </w:rPr>
              <w:t xml:space="preserve">Gestión de RCD del Segura S.L. · Planta de tratamiento de RCD de Murcia</w:t>
            </w:r>
          </w:p>
        </w:tc>
      </w:tr>
      <w:tr>
        <w:tc>
          <w:tcPr>
            <w:tcMar>
              <w:top w:type="dxa" w:w="80"/>
              <w:left w:type="dxa" w:w="120"/>
              <w:bottom w:type="dxa" w:w="80"/>
              <w:right w:type="dxa" w:w="120"/>
            </w:tcMar>
          </w:tcPr>
          <w:p>
            <w:pPr>
              <w:spacing w:after="0" w:before="0"/>
            </w:pPr>
            <w:r>
              <w:rPr>
                <w:b w:val="false"/>
                <w:bCs w:val="false"/>
                <w:color w:val="0F172A"/>
                <w:sz w:val="19"/>
                <w:szCs w:val="19"/>
              </w:rPr>
              <w:t xml:space="preserve">Madera</w:t>
            </w:r>
          </w:p>
        </w:tc>
        <w:tc>
          <w:tcPr>
            <w:tcMar>
              <w:top w:type="dxa" w:w="80"/>
              <w:left w:type="dxa" w:w="120"/>
              <w:bottom w:type="dxa" w:w="80"/>
              <w:right w:type="dxa" w:w="120"/>
            </w:tcMar>
          </w:tcPr>
          <w:p>
            <w:pPr>
              <w:spacing w:after="0" w:before="0"/>
            </w:pPr>
            <w:r>
              <w:rPr>
                <w:b w:val="false"/>
                <w:bCs w:val="false"/>
                <w:color w:val="0F172A"/>
                <w:sz w:val="19"/>
                <w:szCs w:val="19"/>
              </w:rPr>
              <w:t xml:space="preserve">Valorización</w:t>
            </w:r>
          </w:p>
        </w:tc>
      </w:tr>
    </w:tbl>
    <w:p>
      <w:pPr>
        <w:spacing w:after="160"/>
      </w:pPr>
    </w:p>
    <w:p>
      <w:pPr>
        <w:pStyle w:val="Heading2"/>
        <w:spacing w:after="140" w:before="320"/>
      </w:pPr>
      <w:r>
        <w:rPr>
          <w:b w:val="false"/>
          <w:bCs w:val="false"/>
        </w:rPr>
        <w:t xml:space="preserve">5. Medidas para la separación en obra</w:t>
      </w:r>
    </w:p>
    <w:p>
      <w:pPr>
        <w:spacing w:after="140"/>
      </w:pPr>
      <w:r>
        <w:rPr>
          <w:b w:val="false"/>
          <w:bCs w:val="false"/>
        </w:rPr>
        <w:t xml:space="preserve">La separación se hace </w:t>
      </w:r>
      <w:r>
        <w:rPr>
          <w:b/>
          <w:bCs/>
        </w:rPr>
        <w:t xml:space="preserve">en la propia obra</w:t>
      </w:r>
      <w:r>
        <w:rPr>
          <w:b w:val="false"/>
          <w:bCs w:val="false"/>
        </w:rPr>
        <w:t xml:space="preserve">, por el poseedor, en las fracciones marcadas como obligatorias en el punto 2.</w:t>
      </w:r>
    </w:p>
    <w:p>
      <w:pPr>
        <w:pStyle w:val="Heading2"/>
        <w:spacing w:after="140" w:before="320"/>
      </w:pPr>
      <w:r>
        <w:rPr>
          <w:b w:val="false"/>
          <w:bCs w:val="false"/>
        </w:rPr>
        <w:t xml:space="preserve">6. Planos de las instalaciones</w:t>
      </w:r>
    </w:p>
    <w:p>
      <w:pPr>
        <w:spacing w:after="140"/>
      </w:pPr>
      <w:r>
        <w:rPr>
          <w:b w:val="false"/>
          <w:bCs w:val="false"/>
        </w:rPr>
        <w:t xml:space="preserve">[PENDIENTE: plano de situación de contenedores, sacas y zona de acopio, que se adapta al sistema de ejecución con el visto bueno de la dirección facultativa]</w:t>
      </w:r>
    </w:p>
    <w:p>
      <w:pPr>
        <w:pStyle w:val="Heading2"/>
        <w:spacing w:after="140" w:before="320"/>
      </w:pPr>
      <w:r>
        <w:rPr>
          <w:b w:val="false"/>
          <w:bCs w:val="false"/>
        </w:rPr>
        <w:t xml:space="preserve">7. Prescripciones del pliego</w:t>
      </w:r>
    </w:p>
    <w:p>
      <w:pPr>
        <w:spacing w:after="60"/>
        <w:ind w:left="340" w:hanging="240"/>
      </w:pPr>
      <w:r>
        <w:rPr>
          <w:b/>
          <w:bCs/>
          <w:color w:val="1D4ED8"/>
        </w:rPr>
        <w:t xml:space="preserve">•	</w:t>
      </w:r>
      <w:r>
        <w:rPr>
          <w:b w:val="false"/>
          <w:bCs w:val="false"/>
        </w:rPr>
        <w:t xml:space="preserve">Se prohíbe el vertido en cualquier lugar distinto del previsto, y la quema de residuos en la obra.</w:t>
      </w:r>
    </w:p>
    <w:p>
      <w:pPr>
        <w:spacing w:after="60"/>
        <w:ind w:left="340" w:hanging="240"/>
      </w:pPr>
      <w:r>
        <w:rPr>
          <w:b/>
          <w:bCs/>
          <w:color w:val="1D4ED8"/>
        </w:rPr>
        <w:t xml:space="preserve">•	</w:t>
      </w:r>
      <w:r>
        <w:rPr>
          <w:b w:val="false"/>
          <w:bCs w:val="false"/>
        </w:rPr>
        <w:t xml:space="preserve">Los contenedores van señalizados con la fracción que admiten y se retiran tapados.</w:t>
      </w:r>
    </w:p>
    <w:p>
      <w:pPr>
        <w:spacing w:after="60"/>
        <w:ind w:left="340" w:hanging="240"/>
      </w:pPr>
      <w:r>
        <w:rPr>
          <w:b/>
          <w:bCs/>
          <w:color w:val="1D4ED8"/>
        </w:rPr>
        <w:t xml:space="preserve">•	</w:t>
      </w:r>
      <w:r>
        <w:rPr>
          <w:b w:val="false"/>
          <w:bCs w:val="false"/>
        </w:rPr>
        <w:t xml:space="preserve">Se evita mezclar fracciones ya separadas: hacerlo impide la valorización posterior y es incumplimiento del artículo 5.4.</w:t>
      </w:r>
    </w:p>
    <w:p>
      <w:pPr>
        <w:spacing w:after="60"/>
        <w:ind w:left="340" w:hanging="240"/>
      </w:pPr>
      <w:r>
        <w:rPr>
          <w:b/>
          <w:bCs/>
          <w:color w:val="1D4ED8"/>
        </w:rPr>
        <w:t xml:space="preserve">•	</w:t>
      </w:r>
      <w:r>
        <w:rPr>
          <w:b w:val="false"/>
          <w:bCs w:val="false"/>
        </w:rPr>
        <w:t xml:space="preserve">El poseedor mantiene los residuos en condiciones de higiene y seguridad mientras estén en su poder.</w:t>
      </w:r>
    </w:p>
    <w:p>
      <w:pPr>
        <w:pStyle w:val="Heading2"/>
        <w:spacing w:after="140" w:before="320"/>
      </w:pPr>
      <w:r>
        <w:rPr>
          <w:b w:val="false"/>
          <w:bCs w:val="false"/>
        </w:rPr>
        <w:t xml:space="preserve">8. Valoración del coste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Concepto</w:t>
            </w:r>
          </w:p>
        </w:tc>
        <w:tc>
          <w:tcPr>
            <w:shd w:fill="F1F5F9" w:val="clear"/>
            <w:tcMar>
              <w:top w:type="dxa" w:w="80"/>
              <w:left w:type="dxa" w:w="120"/>
              <w:bottom w:type="dxa" w:w="80"/>
              <w:right w:type="dxa" w:w="120"/>
            </w:tcMar>
          </w:tcPr>
          <w:p>
            <w:pPr>
              <w:spacing w:after="0" w:before="0"/>
            </w:pPr>
            <w:r>
              <w:rPr>
                <w:b/>
                <w:bCs/>
                <w:color w:val="0F172A"/>
                <w:sz w:val="19"/>
                <w:szCs w:val="19"/>
              </w:rPr>
              <w:t xml:space="preserve">Importe</w:t>
            </w:r>
          </w:p>
        </w:tc>
      </w:tr>
      <w:tr>
        <w:tc>
          <w:tcPr>
            <w:tcMar>
              <w:top w:type="dxa" w:w="80"/>
              <w:left w:type="dxa" w:w="120"/>
              <w:bottom w:type="dxa" w:w="80"/>
              <w:right w:type="dxa" w:w="120"/>
            </w:tcMar>
          </w:tcPr>
          <w:p>
            <w:pPr>
              <w:spacing w:after="0" w:before="0"/>
            </w:pPr>
            <w:r>
              <w:rPr>
                <w:b w:val="false"/>
                <w:bCs w:val="false"/>
                <w:color w:val="0F172A"/>
                <w:sz w:val="19"/>
                <w:szCs w:val="19"/>
              </w:rPr>
              <w:t xml:space="preserve">Contenedores y portes</w:t>
            </w:r>
          </w:p>
        </w:tc>
        <w:tc>
          <w:tcPr>
            <w:tcMar>
              <w:top w:type="dxa" w:w="80"/>
              <w:left w:type="dxa" w:w="120"/>
              <w:bottom w:type="dxa" w:w="80"/>
              <w:right w:type="dxa" w:w="120"/>
            </w:tcMar>
          </w:tcPr>
          <w:p>
            <w:pPr>
              <w:spacing w:after="0" w:before="0"/>
            </w:pPr>
            <w:r>
              <w:rPr>
                <w:b w:val="false"/>
                <w:bCs w:val="false"/>
                <w:color w:val="0F172A"/>
                <w:sz w:val="19"/>
                <w:szCs w:val="19"/>
              </w:rPr>
              <w:t xml:space="preserve">780,00 €</w:t>
            </w:r>
          </w:p>
        </w:tc>
      </w:tr>
      <w:tr>
        <w:tc>
          <w:tcPr>
            <w:tcMar>
              <w:top w:type="dxa" w:w="80"/>
              <w:left w:type="dxa" w:w="120"/>
              <w:bottom w:type="dxa" w:w="80"/>
              <w:right w:type="dxa" w:w="120"/>
            </w:tcMar>
          </w:tcPr>
          <w:p>
            <w:pPr>
              <w:spacing w:after="0" w:before="0"/>
            </w:pPr>
            <w:r>
              <w:rPr>
                <w:b w:val="false"/>
                <w:bCs w:val="false"/>
                <w:color w:val="0F172A"/>
                <w:sz w:val="19"/>
                <w:szCs w:val="19"/>
              </w:rPr>
              <w:t xml:space="preserve">Canon de vertido</w:t>
            </w:r>
          </w:p>
        </w:tc>
        <w:tc>
          <w:tcPr>
            <w:tcMar>
              <w:top w:type="dxa" w:w="80"/>
              <w:left w:type="dxa" w:w="120"/>
              <w:bottom w:type="dxa" w:w="80"/>
              <w:right w:type="dxa" w:w="120"/>
            </w:tcMar>
          </w:tcPr>
          <w:p>
            <w:pPr>
              <w:spacing w:after="0" w:before="0"/>
            </w:pPr>
            <w:r>
              <w:rPr>
                <w:b w:val="false"/>
                <w:bCs w:val="false"/>
                <w:color w:val="0F172A"/>
                <w:sz w:val="19"/>
                <w:szCs w:val="19"/>
              </w:rPr>
              <w:t xml:space="preserve">214,00 €</w:t>
            </w:r>
          </w:p>
        </w:tc>
      </w:tr>
      <w:tr>
        <w:tc>
          <w:tcPr>
            <w:tcMar>
              <w:top w:type="dxa" w:w="80"/>
              <w:left w:type="dxa" w:w="120"/>
              <w:bottom w:type="dxa" w:w="80"/>
              <w:right w:type="dxa" w:w="120"/>
            </w:tcMar>
          </w:tcPr>
          <w:p>
            <w:pPr>
              <w:spacing w:after="0" w:before="0"/>
            </w:pPr>
            <w:r>
              <w:rPr>
                <w:b/>
                <w:bCs/>
                <w:color w:val="0F172A"/>
                <w:sz w:val="19"/>
                <w:szCs w:val="19"/>
              </w:rPr>
              <w:t xml:space="preserve">Total a incluir en el presupuesto</w:t>
            </w:r>
          </w:p>
        </w:tc>
        <w:tc>
          <w:tcPr>
            <w:tcMar>
              <w:top w:type="dxa" w:w="80"/>
              <w:left w:type="dxa" w:w="120"/>
              <w:bottom w:type="dxa" w:w="80"/>
              <w:right w:type="dxa" w:w="120"/>
            </w:tcMar>
          </w:tcPr>
          <w:p>
            <w:pPr>
              <w:spacing w:after="0" w:before="0"/>
            </w:pPr>
            <w:r>
              <w:rPr>
                <w:b/>
                <w:bCs/>
                <w:color w:val="0F172A"/>
                <w:sz w:val="19"/>
                <w:szCs w:val="19"/>
              </w:rPr>
              <w:t xml:space="preserve">994,00 €</w:t>
            </w:r>
          </w:p>
        </w:tc>
      </w:tr>
    </w:tbl>
    <w:p>
      <w:pPr>
        <w:spacing w:after="160"/>
      </w:pPr>
    </w:p>
    <w:p>
      <w:pPr>
        <w:spacing w:after="140"/>
      </w:pPr>
      <w:r>
        <w:rPr>
          <w:b w:val="false"/>
          <w:bCs w:val="false"/>
        </w:rPr>
        <w:t xml:space="preserve">Va en </w:t>
      </w:r>
      <w:r>
        <w:rPr>
          <w:b/>
          <w:bCs/>
        </w:rPr>
        <w:t xml:space="preserve">capítulo independiente</w:t>
      </w:r>
      <w:r>
        <w:rPr>
          <w:b w:val="false"/>
          <w:bCs w:val="false"/>
        </w:rPr>
        <w:t xml:space="preserve"> del presupuesto del proyecto, por el punto 7.º del artículo 4.1.a). De ahí sale también la fianza que pide el ayuntamiento.</w:t>
      </w:r>
    </w:p>
    <w:p>
      <w:r>
        <w:br w:type="page"/>
      </w:r>
    </w:p>
    <w:p>
      <w:pPr>
        <w:spacing w:after="200"/>
      </w:pPr>
      <w:r>
        <w:rPr>
          <w:b/>
          <w:bCs/>
          <w:color w:val="1D4ED8"/>
          <w:sz w:val="18"/>
          <w:szCs w:val="18"/>
        </w:rPr>
        <w:t xml:space="preserve">PLAN DE GESTIÓN DE RESIDUOS DEL CONTRATISTA — REFORMA INTEGRAL DE VIVIENDA DE 96 M²</w:t>
      </w:r>
    </w:p>
    <w:p>
      <w:pPr>
        <w:pStyle w:val="Heading1"/>
        <w:spacing w:after="140" w:before="0"/>
      </w:pPr>
      <w:r>
        <w:rPr>
          <w:b w:val="false"/>
          <w:bCs w:val="false"/>
        </w:rPr>
        <w:t xml:space="preserve">Plan de gestión de residuos del contratista</w:t>
      </w:r>
    </w:p>
    <w:p>
      <w:pPr>
        <w:spacing w:after="140"/>
      </w:pPr>
      <w:r>
        <w:rPr>
          <w:b/>
          <w:bCs/>
        </w:rPr>
        <w:t xml:space="preserve">Obra:</w:t>
      </w:r>
      <w:r>
        <w:rPr>
          <w:b w:val="false"/>
          <w:bCs w:val="false"/>
        </w:rPr>
        <w:t xml:space="preserve"> Reforma integral de vivienda de 96 m² · Calle Trapería 8, 3.º </w:t>
      </w:r>
      <w:r>
        <w:rPr>
          <w:b/>
          <w:bCs/>
        </w:rPr>
        <w:t xml:space="preserve">Contratista:</w:t>
      </w:r>
      <w:r>
        <w:rPr>
          <w:b w:val="false"/>
          <w:bCs w:val="false"/>
        </w:rPr>
        <w:t xml:space="preserve"> Reformas Vega del Río S.L. · B73111111 </w:t>
      </w:r>
      <w:r>
        <w:rPr>
          <w:b/>
          <w:bCs/>
        </w:rPr>
        <w:t xml:space="preserve">Licencia de obra:</w:t>
      </w:r>
      <w:r>
        <w:rPr>
          <w:b w:val="false"/>
          <w:bCs w:val="false"/>
        </w:rPr>
        <w:t xml:space="preserve"> OM/2026/00418</w:t>
      </w:r>
    </w:p>
    <w:p>
      <w:pPr>
        <w:pBdr>
          <w:left w:val="single" w:color="CBD5E1" w:sz="12" w:space="12"/>
        </w:pBdr>
        <w:spacing w:after="160" w:before="120"/>
        <w:ind w:left="340"/>
      </w:pPr>
      <w:r>
        <w:rPr>
          <w:b w:val="false"/>
          <w:bCs w:val="false"/>
          <w:color w:val="475569"/>
        </w:rPr>
        <w:t xml:space="preserve">Documento del artículo 5.1 del RD 105/2008. Lo presenta quien ejecuta la obra a la propiedad, lo </w:t>
      </w:r>
      <w:r>
        <w:rPr>
          <w:b/>
          <w:bCs/>
          <w:color w:val="475569"/>
        </w:rPr>
        <w:t xml:space="preserve">aprueba la dirección facultativa</w:t>
      </w:r>
      <w:r>
        <w:rPr>
          <w:b w:val="false"/>
          <w:bCs w:val="false"/>
          <w:color w:val="475569"/>
        </w:rPr>
        <w:t xml:space="preserve"> y, una vez aceptado, pasa a formar parte de los documentos contractuales de la obra.</w:t>
      </w:r>
    </w:p>
    <w:p>
      <w:pPr>
        <w:pStyle w:val="Heading2"/>
        <w:spacing w:after="140" w:before="320"/>
      </w:pPr>
      <w:r>
        <w:rPr>
          <w:b w:val="false"/>
          <w:bCs w:val="false"/>
        </w:rPr>
        <w:t xml:space="preserve">1. Cómo se separa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Fracción</w:t>
            </w:r>
          </w:p>
        </w:tc>
        <w:tc>
          <w:tcPr>
            <w:shd w:fill="F1F5F9" w:val="clear"/>
            <w:tcMar>
              <w:top w:type="dxa" w:w="80"/>
              <w:left w:type="dxa" w:w="120"/>
              <w:bottom w:type="dxa" w:w="80"/>
              <w:right w:type="dxa" w:w="120"/>
            </w:tcMar>
          </w:tcPr>
          <w:p>
            <w:pPr>
              <w:spacing w:after="0" w:before="0"/>
            </w:pPr>
            <w:r>
              <w:rPr>
                <w:b/>
                <w:bCs/>
                <w:color w:val="0F172A"/>
                <w:sz w:val="19"/>
                <w:szCs w:val="19"/>
              </w:rPr>
              <w:t xml:space="preserve">¿Se separa?</w:t>
            </w:r>
          </w:p>
        </w:tc>
        <w:tc>
          <w:tcPr>
            <w:shd w:fill="F1F5F9" w:val="clear"/>
            <w:tcMar>
              <w:top w:type="dxa" w:w="80"/>
              <w:left w:type="dxa" w:w="120"/>
              <w:bottom w:type="dxa" w:w="80"/>
              <w:right w:type="dxa" w:w="120"/>
            </w:tcMar>
          </w:tcPr>
          <w:p>
            <w:pPr>
              <w:spacing w:after="0" w:before="0"/>
            </w:pPr>
            <w:r>
              <w:rPr>
                <w:b/>
                <w:bCs/>
                <w:color w:val="0F172A"/>
                <w:sz w:val="19"/>
                <w:szCs w:val="19"/>
              </w:rPr>
              <w:t xml:space="preserve">Dónde en la obra</w:t>
            </w:r>
          </w:p>
        </w:tc>
        <w:tc>
          <w:tcPr>
            <w:shd w:fill="F1F5F9" w:val="clear"/>
            <w:tcMar>
              <w:top w:type="dxa" w:w="80"/>
              <w:left w:type="dxa" w:w="120"/>
              <w:bottom w:type="dxa" w:w="80"/>
              <w:right w:type="dxa" w:w="120"/>
            </w:tcMar>
          </w:tcPr>
          <w:p>
            <w:pPr>
              <w:spacing w:after="0" w:before="0"/>
            </w:pPr>
            <w:r>
              <w:rPr>
                <w:b/>
                <w:bCs/>
                <w:color w:val="0F172A"/>
                <w:sz w:val="19"/>
                <w:szCs w:val="19"/>
              </w:rPr>
              <w:t xml:space="preserve">Destino</w:t>
            </w:r>
          </w:p>
        </w:tc>
      </w:tr>
      <w:tr>
        <w:tc>
          <w:tcPr>
            <w:tcMar>
              <w:top w:type="dxa" w:w="80"/>
              <w:left w:type="dxa" w:w="120"/>
              <w:bottom w:type="dxa" w:w="80"/>
              <w:right w:type="dxa" w:w="120"/>
            </w:tcMar>
          </w:tcPr>
          <w:p>
            <w:pPr>
              <w:spacing w:after="0" w:before="0"/>
            </w:pPr>
            <w:r>
              <w:rPr>
                <w:b w:val="false"/>
                <w:bCs w:val="false"/>
                <w:color w:val="0F172A"/>
                <w:sz w:val="19"/>
                <w:szCs w:val="19"/>
              </w:rPr>
              <w:t xml:space="preserve">Ladrillos, tejas y cerámicos</w:t>
            </w:r>
          </w:p>
        </w:tc>
        <w:tc>
          <w:tcPr>
            <w:tcMar>
              <w:top w:type="dxa" w:w="80"/>
              <w:left w:type="dxa" w:w="120"/>
              <w:bottom w:type="dxa" w:w="80"/>
              <w:right w:type="dxa" w:w="120"/>
            </w:tcMar>
          </w:tcPr>
          <w:p>
            <w:pPr>
              <w:spacing w:after="0" w:before="0"/>
            </w:pPr>
            <w:r>
              <w:rPr>
                <w:b w:val="false"/>
                <w:bCs w:val="false"/>
                <w:color w:val="0F172A"/>
                <w:sz w:val="19"/>
                <w:szCs w:val="19"/>
              </w:rPr>
              <w:t xml:space="preserve">No, va con los mezclados</w:t>
            </w:r>
          </w:p>
        </w:tc>
        <w:tc>
          <w:tcPr>
            <w:tcMar>
              <w:top w:type="dxa" w:w="80"/>
              <w:left w:type="dxa" w:w="120"/>
              <w:bottom w:type="dxa" w:w="80"/>
              <w:right w:type="dxa" w:w="120"/>
            </w:tcMar>
          </w:tcPr>
          <w:p>
            <w:pPr>
              <w:spacing w:after="0" w:before="0"/>
            </w:pPr>
            <w:r>
              <w:rPr>
                <w:b w:val="false"/>
                <w:bCs w:val="false"/>
                <w:color w:val="0F172A"/>
                <w:sz w:val="19"/>
                <w:szCs w:val="19"/>
              </w:rPr>
              <w:t xml:space="preserve">[PENDIENTE: ubicación del contenedor o saca]</w:t>
            </w:r>
          </w:p>
        </w:tc>
        <w:tc>
          <w:tcPr>
            <w:tcMar>
              <w:top w:type="dxa" w:w="80"/>
              <w:left w:type="dxa" w:w="120"/>
              <w:bottom w:type="dxa" w:w="80"/>
              <w:right w:type="dxa" w:w="120"/>
            </w:tcMar>
          </w:tcPr>
          <w:p>
            <w:pPr>
              <w:spacing w:after="0" w:before="0"/>
            </w:pPr>
            <w:r>
              <w:rPr>
                <w:b w:val="false"/>
                <w:bCs w:val="false"/>
                <w:color w:val="0F172A"/>
                <w:sz w:val="19"/>
                <w:szCs w:val="19"/>
              </w:rPr>
              <w:t xml:space="preserve">Gestión de RCD del Segura S.L. · NIMA 3000012345</w:t>
            </w:r>
          </w:p>
        </w:tc>
      </w:tr>
      <w:tr>
        <w:tc>
          <w:tcPr>
            <w:tcMar>
              <w:top w:type="dxa" w:w="80"/>
              <w:left w:type="dxa" w:w="120"/>
              <w:bottom w:type="dxa" w:w="80"/>
              <w:right w:type="dxa" w:w="120"/>
            </w:tcMar>
          </w:tcPr>
          <w:p>
            <w:pPr>
              <w:spacing w:after="0" w:before="0"/>
            </w:pPr>
            <w:r>
              <w:rPr>
                <w:b w:val="false"/>
                <w:bCs w:val="false"/>
                <w:color w:val="0F172A"/>
                <w:sz w:val="19"/>
                <w:szCs w:val="19"/>
              </w:rPr>
              <w:t xml:space="preserve">Yeso y escayola</w:t>
            </w:r>
          </w:p>
        </w:tc>
        <w:tc>
          <w:tcPr>
            <w:tcMar>
              <w:top w:type="dxa" w:w="80"/>
              <w:left w:type="dxa" w:w="120"/>
              <w:bottom w:type="dxa" w:w="80"/>
              <w:right w:type="dxa" w:w="120"/>
            </w:tcMar>
          </w:tcPr>
          <w:p>
            <w:pPr>
              <w:spacing w:after="0" w:before="0"/>
            </w:pPr>
            <w:r>
              <w:rPr>
                <w:b w:val="false"/>
                <w:bCs w:val="false"/>
                <w:color w:val="0F172A"/>
                <w:sz w:val="19"/>
                <w:szCs w:val="19"/>
              </w:rPr>
              <w:t xml:space="preserve">No, va con los mezclados</w:t>
            </w:r>
          </w:p>
        </w:tc>
        <w:tc>
          <w:tcPr>
            <w:tcMar>
              <w:top w:type="dxa" w:w="80"/>
              <w:left w:type="dxa" w:w="120"/>
              <w:bottom w:type="dxa" w:w="80"/>
              <w:right w:type="dxa" w:w="120"/>
            </w:tcMar>
          </w:tcPr>
          <w:p>
            <w:pPr>
              <w:spacing w:after="0" w:before="0"/>
            </w:pPr>
            <w:r>
              <w:rPr>
                <w:b w:val="false"/>
                <w:bCs w:val="false"/>
                <w:color w:val="0F172A"/>
                <w:sz w:val="19"/>
                <w:szCs w:val="19"/>
              </w:rPr>
              <w:t xml:space="preserve">[PENDIENTE: ubicación del contenedor o saca]</w:t>
            </w:r>
          </w:p>
        </w:tc>
        <w:tc>
          <w:tcPr>
            <w:tcMar>
              <w:top w:type="dxa" w:w="80"/>
              <w:left w:type="dxa" w:w="120"/>
              <w:bottom w:type="dxa" w:w="80"/>
              <w:right w:type="dxa" w:w="120"/>
            </w:tcMar>
          </w:tcPr>
          <w:p>
            <w:pPr>
              <w:spacing w:after="0" w:before="0"/>
            </w:pPr>
            <w:r>
              <w:rPr>
                <w:b w:val="false"/>
                <w:bCs w:val="false"/>
                <w:color w:val="0F172A"/>
                <w:sz w:val="19"/>
                <w:szCs w:val="19"/>
              </w:rPr>
              <w:t xml:space="preserve">Gestión de RCD del Segura S.L. · NIMA 3000012345</w:t>
            </w:r>
          </w:p>
        </w:tc>
      </w:tr>
      <w:tr>
        <w:tc>
          <w:tcPr>
            <w:tcMar>
              <w:top w:type="dxa" w:w="80"/>
              <w:left w:type="dxa" w:w="120"/>
              <w:bottom w:type="dxa" w:w="80"/>
              <w:right w:type="dxa" w:w="120"/>
            </w:tcMar>
          </w:tcPr>
          <w:p>
            <w:pPr>
              <w:spacing w:after="0" w:before="0"/>
            </w:pPr>
            <w:r>
              <w:rPr>
                <w:b w:val="false"/>
                <w:bCs w:val="false"/>
                <w:color w:val="0F172A"/>
                <w:sz w:val="19"/>
                <w:szCs w:val="19"/>
              </w:rPr>
              <w:t xml:space="preserve">Madera</w:t>
            </w:r>
          </w:p>
        </w:tc>
        <w:tc>
          <w:tcPr>
            <w:tcMar>
              <w:top w:type="dxa" w:w="80"/>
              <w:left w:type="dxa" w:w="120"/>
              <w:bottom w:type="dxa" w:w="80"/>
              <w:right w:type="dxa" w:w="120"/>
            </w:tcMar>
          </w:tcPr>
          <w:p>
            <w:pPr>
              <w:spacing w:after="0" w:before="0"/>
            </w:pPr>
            <w:r>
              <w:rPr>
                <w:b w:val="false"/>
                <w:bCs w:val="false"/>
                <w:color w:val="0F172A"/>
                <w:sz w:val="19"/>
                <w:szCs w:val="19"/>
              </w:rPr>
              <w:t xml:space="preserve">No, va con los mezclados</w:t>
            </w:r>
          </w:p>
        </w:tc>
        <w:tc>
          <w:tcPr>
            <w:tcMar>
              <w:top w:type="dxa" w:w="80"/>
              <w:left w:type="dxa" w:w="120"/>
              <w:bottom w:type="dxa" w:w="80"/>
              <w:right w:type="dxa" w:w="120"/>
            </w:tcMar>
          </w:tcPr>
          <w:p>
            <w:pPr>
              <w:spacing w:after="0" w:before="0"/>
            </w:pPr>
            <w:r>
              <w:rPr>
                <w:b w:val="false"/>
                <w:bCs w:val="false"/>
                <w:color w:val="0F172A"/>
                <w:sz w:val="19"/>
                <w:szCs w:val="19"/>
              </w:rPr>
              <w:t xml:space="preserve">[PENDIENTE: ubicación del contenedor o saca]</w:t>
            </w:r>
          </w:p>
        </w:tc>
        <w:tc>
          <w:tcPr>
            <w:tcMar>
              <w:top w:type="dxa" w:w="80"/>
              <w:left w:type="dxa" w:w="120"/>
              <w:bottom w:type="dxa" w:w="80"/>
              <w:right w:type="dxa" w:w="120"/>
            </w:tcMar>
          </w:tcPr>
          <w:p>
            <w:pPr>
              <w:spacing w:after="0" w:before="0"/>
            </w:pPr>
            <w:r>
              <w:rPr>
                <w:b w:val="false"/>
                <w:bCs w:val="false"/>
                <w:color w:val="0F172A"/>
                <w:sz w:val="19"/>
                <w:szCs w:val="19"/>
              </w:rPr>
              <w:t xml:space="preserve">Gestión de RCD del Segura S.L. · NIMA 3000012345</w:t>
            </w:r>
          </w:p>
        </w:tc>
      </w:tr>
    </w:tbl>
    <w:p>
      <w:pPr>
        <w:spacing w:after="160"/>
      </w:pPr>
    </w:p>
    <w:p>
      <w:pPr>
        <w:spacing w:after="140"/>
      </w:pPr>
      <w:r>
        <w:rPr>
          <w:b w:val="false"/>
          <w:bCs w:val="false"/>
        </w:rPr>
        <w:t xml:space="preserve">La separación se hace en la obra. Cada contenedor va señalizado con su fracción.</w:t>
      </w:r>
    </w:p>
    <w:p>
      <w:pPr>
        <w:pStyle w:val="Heading2"/>
        <w:spacing w:after="140" w:before="320"/>
      </w:pPr>
      <w:r>
        <w:rPr>
          <w:b w:val="false"/>
          <w:bCs w:val="false"/>
        </w:rPr>
        <w:t xml:space="preserve">2. Medios previstos</w:t>
      </w:r>
    </w:p>
    <w:p>
      <w:pPr>
        <w:spacing w:after="140"/>
      </w:pPr>
      <w:r>
        <w:rPr>
          <w:b w:val="false"/>
          <w:bCs w:val="false"/>
        </w:rPr>
        <w:t xml:space="preserve">[PENDIENTE: contenedores, sacas, número de portes y medio de bajada —bajante entubada, montacargas o grúa—]</w:t>
      </w:r>
    </w:p>
    <w:p>
      <w:pPr>
        <w:pStyle w:val="Heading2"/>
        <w:spacing w:after="140" w:before="320"/>
      </w:pPr>
      <w:r>
        <w:rPr>
          <w:b w:val="false"/>
          <w:bCs w:val="false"/>
        </w:rPr>
        <w:t xml:space="preserve">3. Quién responde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Función</w:t>
            </w:r>
          </w:p>
        </w:tc>
        <w:tc>
          <w:tcPr>
            <w:shd w:fill="F1F5F9" w:val="clear"/>
            <w:tcMar>
              <w:top w:type="dxa" w:w="80"/>
              <w:left w:type="dxa" w:w="120"/>
              <w:bottom w:type="dxa" w:w="80"/>
              <w:right w:type="dxa" w:w="120"/>
            </w:tcMar>
          </w:tcPr>
          <w:p>
            <w:pPr>
              <w:spacing w:after="0" w:before="0"/>
            </w:pPr>
            <w:r>
              <w:rPr>
                <w:b/>
                <w:bCs/>
                <w:color w:val="0F172A"/>
                <w:sz w:val="19"/>
                <w:szCs w:val="19"/>
              </w:rPr>
              <w:t xml:space="preserve">Quién</w:t>
            </w:r>
          </w:p>
        </w:tc>
      </w:tr>
      <w:tr>
        <w:tc>
          <w:tcPr>
            <w:tcMar>
              <w:top w:type="dxa" w:w="80"/>
              <w:left w:type="dxa" w:w="120"/>
              <w:bottom w:type="dxa" w:w="80"/>
              <w:right w:type="dxa" w:w="120"/>
            </w:tcMar>
          </w:tcPr>
          <w:p>
            <w:pPr>
              <w:spacing w:after="0" w:before="0"/>
            </w:pPr>
            <w:r>
              <w:rPr>
                <w:b w:val="false"/>
                <w:bCs w:val="false"/>
                <w:color w:val="0F172A"/>
                <w:sz w:val="19"/>
                <w:szCs w:val="19"/>
              </w:rPr>
              <w:t xml:space="preserve">Poseedor de los residuos</w:t>
            </w:r>
          </w:p>
        </w:tc>
        <w:tc>
          <w:tcPr>
            <w:tcMar>
              <w:top w:type="dxa" w:w="80"/>
              <w:left w:type="dxa" w:w="120"/>
              <w:bottom w:type="dxa" w:w="80"/>
              <w:right w:type="dxa" w:w="120"/>
            </w:tcMar>
          </w:tcPr>
          <w:p>
            <w:pPr>
              <w:spacing w:after="0" w:before="0"/>
            </w:pPr>
            <w:r>
              <w:rPr>
                <w:b w:val="false"/>
                <w:bCs w:val="false"/>
                <w:color w:val="0F172A"/>
                <w:sz w:val="19"/>
                <w:szCs w:val="19"/>
              </w:rPr>
              <w:t xml:space="preserve">Reformas Vega del Río S.L.</w:t>
            </w:r>
          </w:p>
        </w:tc>
      </w:tr>
      <w:tr>
        <w:tc>
          <w:tcPr>
            <w:tcMar>
              <w:top w:type="dxa" w:w="80"/>
              <w:left w:type="dxa" w:w="120"/>
              <w:bottom w:type="dxa" w:w="80"/>
              <w:right w:type="dxa" w:w="120"/>
            </w:tcMar>
          </w:tcPr>
          <w:p>
            <w:pPr>
              <w:spacing w:after="0" w:before="0"/>
            </w:pPr>
            <w:r>
              <w:rPr>
                <w:b w:val="false"/>
                <w:bCs w:val="false"/>
                <w:color w:val="0F172A"/>
                <w:sz w:val="19"/>
                <w:szCs w:val="19"/>
              </w:rPr>
              <w:t xml:space="preserve">Responsable en obra del cumplimiento de este plan</w:t>
            </w:r>
          </w:p>
        </w:tc>
        <w:tc>
          <w:tcPr>
            <w:tcMar>
              <w:top w:type="dxa" w:w="80"/>
              <w:left w:type="dxa" w:w="120"/>
              <w:bottom w:type="dxa" w:w="80"/>
              <w:right w:type="dxa" w:w="120"/>
            </w:tcMar>
          </w:tcPr>
          <w:p>
            <w:pPr>
              <w:spacing w:after="0" w:before="0"/>
            </w:pPr>
            <w:r>
              <w:rPr>
                <w:b w:val="false"/>
                <w:bCs w:val="false"/>
                <w:color w:val="0F172A"/>
                <w:sz w:val="19"/>
                <w:szCs w:val="19"/>
              </w:rPr>
              <w:t xml:space="preserve">[PENDIENTE: nombre del jefe de obra o del encargado]</w:t>
            </w:r>
          </w:p>
        </w:tc>
      </w:tr>
      <w:tr>
        <w:tc>
          <w:tcPr>
            <w:tcMar>
              <w:top w:type="dxa" w:w="80"/>
              <w:left w:type="dxa" w:w="120"/>
              <w:bottom w:type="dxa" w:w="80"/>
              <w:right w:type="dxa" w:w="120"/>
            </w:tcMar>
          </w:tcPr>
          <w:p>
            <w:pPr>
              <w:spacing w:after="0" w:before="0"/>
            </w:pPr>
            <w:r>
              <w:rPr>
                <w:b w:val="false"/>
                <w:bCs w:val="false"/>
                <w:color w:val="0F172A"/>
                <w:sz w:val="19"/>
                <w:szCs w:val="19"/>
              </w:rPr>
              <w:t xml:space="preserve">Dirección facultativa que aprueba el plan</w:t>
            </w:r>
          </w:p>
        </w:tc>
        <w:tc>
          <w:tcPr>
            <w:tcMar>
              <w:top w:type="dxa" w:w="80"/>
              <w:left w:type="dxa" w:w="120"/>
              <w:bottom w:type="dxa" w:w="80"/>
              <w:right w:type="dxa" w:w="120"/>
            </w:tcMar>
          </w:tcPr>
          <w:p>
            <w:pPr>
              <w:spacing w:after="0" w:before="0"/>
            </w:pPr>
            <w:r>
              <w:rPr>
                <w:b w:val="false"/>
                <w:bCs w:val="false"/>
                <w:color w:val="0F172A"/>
                <w:sz w:val="19"/>
                <w:szCs w:val="19"/>
              </w:rPr>
              <w:t xml:space="preserve">[PENDIENTE: director de la ejecución de la obra]</w:t>
            </w:r>
          </w:p>
        </w:tc>
      </w:tr>
    </w:tbl>
    <w:p>
      <w:pPr>
        <w:spacing w:after="160"/>
      </w:pPr>
    </w:p>
    <w:p>
      <w:pPr>
        <w:pStyle w:val="Heading2"/>
        <w:spacing w:after="140" w:before="320"/>
      </w:pPr>
      <w:r>
        <w:rPr>
          <w:b w:val="false"/>
          <w:bCs w:val="false"/>
        </w:rPr>
        <w:t xml:space="preserve">4. Documentación de entrega</w:t>
      </w:r>
    </w:p>
    <w:p>
      <w:pPr>
        <w:spacing w:after="140"/>
      </w:pPr>
      <w:r>
        <w:rPr>
          <w:b w:val="false"/>
          <w:bCs w:val="false"/>
        </w:rPr>
        <w:t xml:space="preserve">De cada entrega a gestor se conserva documento fehaciente con: identificación del poseedor y del productor, obra de procedencia, número de licencia, cantidad en toneladas o metros cúbicos, tipo de residuo con su código LER e identificación del gestor de destino. Si el gestor solo recoge o transporta, el documento indicará además el gestor de valorización o eliminación final.</w:t>
      </w:r>
    </w:p>
    <w:p>
      <w:pPr>
        <w:spacing w:after="140"/>
      </w:pPr>
      <w:r>
        <w:rPr>
          <w:b/>
          <w:bCs/>
        </w:rPr>
        <w:t xml:space="preserve">Se conserva durante los cinco años siguientes a cada año natural.</w:t>
      </w:r>
      <w:r>
        <w:rPr>
          <w:b w:val="false"/>
          <w:bCs w:val="false"/>
        </w:rPr>
        <w:t xml:space="preserve"> Es lo que se enseña si alguien pregunta dónde acabó todo.</w:t>
      </w:r>
    </w:p>
    <w:p>
      <w:pPr>
        <w:pStyle w:val="Heading2"/>
        <w:spacing w:after="140" w:before="320"/>
      </w:pPr>
      <w:r>
        <w:rPr>
          <w:b w:val="false"/>
          <w:bCs w:val="false"/>
        </w:rPr>
        <w:t xml:space="preserve">5. Aprobación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Presentado por el contratista</w:t>
            </w:r>
          </w:p>
        </w:tc>
        <w:tc>
          <w:tcPr>
            <w:tcMar>
              <w:top w:type="dxa" w:w="80"/>
              <w:left w:type="dxa" w:w="120"/>
              <w:bottom w:type="dxa" w:w="80"/>
              <w:right w:type="dxa" w:w="120"/>
            </w:tcMar>
          </w:tcPr>
          <w:p>
            <w:pPr>
              <w:spacing w:after="0" w:before="0"/>
            </w:pPr>
            <w:r>
              <w:rPr>
                <w:b w:val="false"/>
                <w:bCs w:val="false"/>
                <w:color w:val="0F172A"/>
                <w:sz w:val="19"/>
                <w:szCs w:val="19"/>
              </w:rPr>
              <w:t xml:space="preserve">Reformas Vega del Río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r>
        <w:tc>
          <w:tcPr>
            <w:tcMar>
              <w:top w:type="dxa" w:w="80"/>
              <w:left w:type="dxa" w:w="120"/>
              <w:bottom w:type="dxa" w:w="80"/>
              <w:right w:type="dxa" w:w="120"/>
            </w:tcMar>
          </w:tcPr>
          <w:p>
            <w:pPr>
              <w:spacing w:after="0" w:before="0"/>
            </w:pPr>
            <w:r>
              <w:rPr>
                <w:b w:val="false"/>
                <w:bCs w:val="false"/>
                <w:color w:val="0F172A"/>
                <w:sz w:val="19"/>
                <w:szCs w:val="19"/>
              </w:rPr>
              <w:t xml:space="preserve">Aprobado por la dirección facultativa</w:t>
            </w:r>
          </w:p>
        </w:tc>
        <w:tc>
          <w:tcPr>
            <w:tcMar>
              <w:top w:type="dxa" w:w="80"/>
              <w:left w:type="dxa" w:w="120"/>
              <w:bottom w:type="dxa" w:w="80"/>
              <w:right w:type="dxa" w:w="120"/>
            </w:tcMar>
          </w:tcPr>
          <w:p>
            <w:pPr>
              <w:spacing w:after="0" w:before="0"/>
            </w:pPr>
            <w:r>
              <w:rPr>
                <w:b w:val="false"/>
                <w:bCs w:val="false"/>
                <w:color w:val="0F172A"/>
                <w:sz w:val="19"/>
                <w:szCs w:val="19"/>
              </w:rPr>
              <w:t xml:space="preserve">[PENDIENTE: director de la ejecución]</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r>
        <w:tc>
          <w:tcPr>
            <w:tcMar>
              <w:top w:type="dxa" w:w="80"/>
              <w:left w:type="dxa" w:w="120"/>
              <w:bottom w:type="dxa" w:w="80"/>
              <w:right w:type="dxa" w:w="120"/>
            </w:tcMar>
          </w:tcPr>
          <w:p>
            <w:pPr>
              <w:spacing w:after="0" w:before="0"/>
            </w:pPr>
            <w:r>
              <w:rPr>
                <w:b w:val="false"/>
                <w:bCs w:val="false"/>
                <w:color w:val="0F172A"/>
                <w:sz w:val="19"/>
                <w:szCs w:val="19"/>
              </w:rPr>
              <w:t xml:space="preserve">Aceptado por la propiedad</w:t>
            </w:r>
          </w:p>
        </w:tc>
        <w:tc>
          <w:tcPr>
            <w:tcMar>
              <w:top w:type="dxa" w:w="80"/>
              <w:left w:type="dxa" w:w="120"/>
              <w:bottom w:type="dxa" w:w="80"/>
              <w:right w:type="dxa" w:w="120"/>
            </w:tcMar>
          </w:tcPr>
          <w:p>
            <w:pPr>
              <w:spacing w:after="0" w:before="0"/>
            </w:pPr>
            <w:r>
              <w:rPr>
                <w:b w:val="false"/>
                <w:bCs w:val="false"/>
                <w:color w:val="0F172A"/>
                <w:sz w:val="19"/>
                <w:szCs w:val="19"/>
              </w:rPr>
              <w:t xml:space="preserve">[PENDIENTE: promotor]</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bl>
    <w:p>
      <w:pPr>
        <w:spacing w:after="160"/>
      </w:pP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bCs/>
        </w:rPr>
        <w:t xml:space="preserve">Las cantidades salen de tu medición y del espesor real de cada elemento</w:t>
      </w:r>
      <w:r>
        <w:rPr>
          <w:b w:val="false"/>
          <w:bCs w:val="false"/>
        </w:rPr>
        <w:t xml:space="preserve">, no de un ratio por metro cuadrado. Si un espesor no es el que has puesto, cambia la tonelada y cambia la fianza.</w:t>
      </w:r>
    </w:p>
    <w:p>
      <w:pPr>
        <w:spacing w:after="60"/>
        <w:ind w:left="340" w:hanging="240"/>
      </w:pPr>
      <w:r>
        <w:rPr>
          <w:b/>
          <w:bCs/>
          <w:color w:val="1D4ED8"/>
        </w:rPr>
        <w:t xml:space="preserve">•	</w:t>
      </w:r>
      <w:r>
        <w:rPr>
          <w:b w:val="false"/>
          <w:bCs w:val="false"/>
        </w:rPr>
        <w:t xml:space="preserve">Las densidades aparentes son valores de referencia para pasar de volumen a toneladas. El certificado del gestor manda sobre cualquier estimación.</w:t>
      </w:r>
    </w:p>
    <w:p>
      <w:pPr>
        <w:spacing w:after="60"/>
        <w:ind w:left="340" w:hanging="240"/>
      </w:pPr>
      <w:r>
        <w:rPr>
          <w:b/>
          <w:bCs/>
          <w:color w:val="1D4ED8"/>
        </w:rPr>
        <w:t xml:space="preserve">•	</w:t>
      </w:r>
      <w:r>
        <w:rPr>
          <w:b w:val="false"/>
          <w:bCs w:val="false"/>
        </w:rPr>
        <w:t xml:space="preserve">El coste que aparece es el que nos has dado. Pídeselo a tu gestor antes de meterlo en el presupuesto: el canon cambia por provincia y por año.</w:t>
      </w:r>
    </w:p>
    <w:p>
      <w:pPr>
        <w:spacing w:after="60"/>
        <w:ind w:left="340" w:hanging="240"/>
      </w:pPr>
      <w:r>
        <w:rPr>
          <w:b/>
          <w:bCs/>
          <w:color w:val="1D4ED8"/>
        </w:rPr>
        <w:t xml:space="preserve">•	</w:t>
      </w:r>
      <w:r>
        <w:rPr>
          <w:b w:val="false"/>
          <w:bCs w:val="false"/>
        </w:rPr>
        <w:t xml:space="preserve">Al terminar, </w:t>
      </w:r>
      <w:r>
        <w:rPr>
          <w:b/>
          <w:bCs/>
        </w:rPr>
        <w:t xml:space="preserve">el certificado de entrega de cada gestor</w:t>
      </w:r>
      <w:r>
        <w:rPr>
          <w:b w:val="false"/>
          <w:bCs w:val="false"/>
        </w:rPr>
        <w:t xml:space="preserve"> es lo que acredita el destino. Se guarda cinco años, y sin él la obra no cierra ante el ayuntamiento.</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Real Decreto 105/2008, de 1 de febrero, por el que se regula la producción y gestión de los residuos de construcción y demolición, art. 4.1.a</w:t>
      </w:r>
    </w:p>
    <w:p>
      <w:pPr>
        <w:spacing w:after="140"/>
      </w:pPr>
      <w:r>
        <w:rPr>
          <w:b w:val="false"/>
          <w:bCs w:val="false"/>
        </w:rPr>
        <w:t xml:space="preserve">El productor deberá incluir en el proyecto de ejecución de la obra un estudio de gestión de residuos de construcción y demolición, que contendrá como mínimo: una estimación de la cantidad, expresada en toneladas y en metros cúbicos, de los residuos que se generarán en la obra, codificados con arreglo a la lista europea de residuos; las medidas para la prevención de residuos; las operaciones de reutilización, valorización o eliminación a que se destinarán; las medidas para la separación de los residuos en obra; los planos de las instalaciones previstas para el almacenamiento, manejo y separación; las prescripciones del pliego; y una valoración del coste previsto de la gestión, que formará parte del presupuesto del proyecto en capítulo independiente.</w:t>
      </w:r>
    </w:p>
    <w:p>
      <w:pPr>
        <w:spacing w:after="140"/>
      </w:pPr>
      <w:r>
        <w:rPr>
          <w:b w:val="false"/>
          <w:bCs w:val="false"/>
        </w:rPr>
        <w:t xml:space="preserve">https://www.boe.es/buscar/act.php?id=BOE-A-2008-2486</w:t>
      </w:r>
    </w:p>
    <w:p>
      <w:pPr>
        <w:spacing w:after="140"/>
      </w:pPr>
      <w:r>
        <w:rPr>
          <w:b/>
          <w:bCs/>
        </w:rPr>
        <w:t xml:space="preserve">Real Decreto 105/2008, de 1 de febrero, por el que se regula la producción y gestión de los residuos de construcción y demolición, art. 4.1.b</w:t>
      </w:r>
    </w:p>
    <w:p>
      <w:pPr>
        <w:spacing w:after="140"/>
      </w:pPr>
      <w:r>
        <w:rPr>
          <w:b w:val="false"/>
          <w:bCs w:val="false"/>
        </w:rPr>
        <w:t xml:space="preserve">En obras de demolición, rehabilitación, reparación o reforma, hacer un inventario de los residuos peligrosos que se generarán, que deberá incluirse en el estudio de gestión, así como prever su retirada selectiva, con el fin de evitar la mezcla entre ellos o con otros residuos no peligrosos, y asegurar su envío a gestores autorizados de residuos peligrosos.</w:t>
      </w:r>
    </w:p>
    <w:p>
      <w:pPr>
        <w:spacing w:after="140"/>
      </w:pPr>
      <w:r>
        <w:rPr>
          <w:b w:val="false"/>
          <w:bCs w:val="false"/>
        </w:rPr>
        <w:t xml:space="preserve">https://www.boe.es/buscar/act.php?id=BOE-A-2008-2486</w:t>
      </w:r>
    </w:p>
    <w:p>
      <w:pPr>
        <w:spacing w:after="140"/>
      </w:pPr>
      <w:r>
        <w:rPr>
          <w:b/>
          <w:bCs/>
        </w:rPr>
        <w:t xml:space="preserve">Real Decreto 105/2008, de 1 de febrero, por el que se regula la producción y gestión de los residuos de construcción y demolición, art. 5.1</w:t>
      </w:r>
    </w:p>
    <w:p>
      <w:pPr>
        <w:spacing w:after="140"/>
      </w:pPr>
      <w:r>
        <w:rPr>
          <w:b w:val="false"/>
          <w:bCs w:val="false"/>
        </w:rPr>
        <w:t xml:space="preserve">La persona física o jurídica que ejecute la obra estará obligada a presentar a la propiedad de la misma un plan que refleje cómo llevará a cabo las obligaciones que le incumban en relación con los residuos de construcción y demolición que se vayan a producir en la obra. El plan, una vez aprobado por la dirección facultativa y aceptado por la propiedad, pasará a formar parte de los documentos contractuales de la obra.</w:t>
      </w:r>
    </w:p>
    <w:p>
      <w:pPr>
        <w:spacing w:after="140"/>
      </w:pPr>
      <w:r>
        <w:rPr>
          <w:b w:val="false"/>
          <w:bCs w:val="false"/>
        </w:rPr>
        <w:t xml:space="preserve">https://www.boe.es/buscar/act.php?id=BOE-A-2008-2486</w:t>
      </w:r>
    </w:p>
    <w:p>
      <w:pPr>
        <w:spacing w:after="140"/>
      </w:pPr>
      <w:r>
        <w:rPr>
          <w:b/>
          <w:bCs/>
        </w:rPr>
        <w:t xml:space="preserve">Real Decreto 105/2008, de 1 de febrero, por el que se regula la producción y gestión de los residuos de construcción y demolición, art. 5.5</w:t>
      </w:r>
    </w:p>
    <w:p>
      <w:pPr>
        <w:spacing w:after="140"/>
      </w:pPr>
      <w:r>
        <w:rPr>
          <w:b w:val="false"/>
          <w:bCs w:val="false"/>
        </w:rPr>
        <w:t xml:space="preserve">Los residuos de construcción y demolición deberán separarse en las siguientes fracciones, cuando, de forma individualizada para cada una de dichas fracciones, la cantidad prevista de generación para el total de la obra supere las siguientes cantidades: Hormigón: 80 t. Ladrillos, tejas, cerámicos: 40 t. Metal: 2 t. Madera: 1 t. Vidrio: 1 t. Plástico: 0,5 t. Papel y cartón: 0,5 t.</w:t>
      </w:r>
    </w:p>
    <w:p>
      <w:pPr>
        <w:spacing w:after="140"/>
      </w:pPr>
      <w:r>
        <w:rPr>
          <w:b w:val="false"/>
          <w:bCs w:val="false"/>
        </w:rPr>
        <w:t xml:space="preserve">https://www.boe.es/buscar/act.php?id=BOE-A-2008-2486</w:t>
      </w:r>
    </w:p>
    <w:p>
      <w:pPr>
        <w:spacing w:after="140"/>
      </w:pPr>
      <w:r>
        <w:rPr>
          <w:b/>
          <w:bCs/>
        </w:rPr>
        <w:t xml:space="preserve">Real Decreto 105/2008, de 1 de febrero, por el que se regula la producción y gestión de los residuos de construcción y demolición, art. 5.3</w:t>
      </w:r>
    </w:p>
    <w:p>
      <w:pPr>
        <w:spacing w:after="140"/>
      </w:pPr>
      <w:r>
        <w:rPr>
          <w:b w:val="false"/>
          <w:bCs w:val="false"/>
        </w:rPr>
        <w:t xml:space="preserve">La entrega de los residuos de construcción y demolición a un gestor por parte del poseedor habrá de constar en documento fehaciente, en el que figure, al menos, la identificación del poseedor y del productor, la obra de procedencia y, en su caso, el número de licencia de la obra, la cantidad, expresada en toneladas o en metros cúbicos, el tipo de residuos entregados, codificados con arreglo a la lista europea de residuos, y la identificación del gestor de las operaciones de destino.</w:t>
      </w:r>
    </w:p>
    <w:p>
      <w:pPr>
        <w:spacing w:after="140"/>
      </w:pPr>
      <w:r>
        <w:rPr>
          <w:b w:val="false"/>
          <w:bCs w:val="false"/>
        </w:rPr>
        <w:t xml:space="preserve">https://www.boe.es/buscar/act.php?id=BOE-A-2008-2486</w:t>
      </w:r>
    </w:p>
    <w:p>
      <w:pPr>
        <w:spacing w:after="140"/>
      </w:pPr>
      <w:r>
        <w:rPr>
          <w:b/>
          <w:bCs/>
        </w:rPr>
        <w:t xml:space="preserve">Real Decreto 105/2008, de 1 de febrero, por el que se regula la producción y gestión de los residuos de construcción y demolición, art. 5.7</w:t>
      </w:r>
    </w:p>
    <w:p>
      <w:pPr>
        <w:spacing w:after="140"/>
      </w:pPr>
      <w:r>
        <w:rPr>
          <w:b w:val="false"/>
          <w:bCs w:val="false"/>
        </w:rPr>
        <w:t xml:space="preserve">El poseedor de los residuos estará obligado a sufragar los correspondientes costes de gestión y a entregar al productor los certificados y demás documentación acreditativa de la gestión de los residuos, así como a mantener la documentación correspondiente a cada año natural durante los cinco años siguientes.</w:t>
      </w:r>
    </w:p>
    <w:p>
      <w:pPr>
        <w:spacing w:after="140"/>
      </w:pPr>
      <w:r>
        <w:rPr>
          <w:b w:val="false"/>
          <w:bCs w:val="false"/>
        </w:rPr>
        <w:t xml:space="preserve">https://www.boe.es/buscar/act.php?id=BOE-A-2008-2486</w:t>
      </w:r>
    </w:p>
    <w:p>
      <w:pPr>
        <w:spacing w:after="140"/>
      </w:pPr>
      <w:r>
        <w:rPr>
          <w:b/>
          <w:bCs/>
        </w:rPr>
        <w:t xml:space="preserve">Real Decreto 105/2008, de 1 de febrero, por el que se regula la producción y gestión de los residuos de construcción y demolición, art. 6.2 y 6.3</w:t>
      </w:r>
    </w:p>
    <w:p>
      <w:pPr>
        <w:spacing w:after="140"/>
      </w:pPr>
      <w:r>
        <w:rPr>
          <w:b w:val="false"/>
          <w:bCs w:val="false"/>
        </w:rPr>
        <w:t xml:space="preserve">La legislación de las comunidades autónomas podrá exigir la constitución de una fianza u otra garantía financiera equivalente, vinculada al otorgamiento de la licencia municipal de obras al productor de residuos. En aquellas obras cuyo proyecto incluya un estudio de gestión de residuos, el cálculo de la cuantía de la fianza se basará en el presupuesto de dicho estudio.</w:t>
      </w:r>
    </w:p>
    <w:p>
      <w:pPr>
        <w:spacing w:after="140"/>
      </w:pPr>
      <w:r>
        <w:rPr>
          <w:b w:val="false"/>
          <w:bCs w:val="false"/>
        </w:rPr>
        <w:t xml:space="preserve">https://www.boe.es/buscar/act.php?id=BOE-A-2008-2486</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Reforma integral de 96 m² con demolición de tabiquería y alicatados</dc:title>
  <dc:creator>tramitaIA</dc:creator>
  <cp:lastModifiedBy>Un-named</cp:lastModifiedBy>
  <cp:revision>1</cp:revision>
  <dcterms:created xsi:type="dcterms:W3CDTF">2026-09-07T16:57:24.841Z</dcterms:created>
  <dcterms:modified xsi:type="dcterms:W3CDTF">2026-09-07T16:57:24.841Z</dcterms:modified>
</cp:coreProperties>
</file>

<file path=docProps/custom.xml><?xml version="1.0" encoding="utf-8"?>
<Properties xmlns="http://schemas.openxmlformats.org/officeDocument/2006/custom-properties" xmlns:vt="http://schemas.openxmlformats.org/officeDocument/2006/docPropsVTypes"/>
</file>