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EXPEDIENTE DE SUBROGACIÓN</w:t>
      </w:r>
    </w:p>
    <w:p>
      <w:pPr>
        <w:pStyle w:val="Title"/>
        <w:spacing w:after="120"/>
      </w:pPr>
      <w:r>
        <w:rPr>
          <w:b/>
          <w:bCs/>
          <w:color w:val="0F172A"/>
          <w:sz w:val="40"/>
          <w:szCs w:val="40"/>
        </w:rPr>
        <w:t xml:space="preserve">Subrogación de seis vigilantes de un servicio hospitalario</w:t>
      </w:r>
    </w:p>
    <w:p>
      <w:pPr>
        <w:pBdr>
          <w:bottom w:val="single" w:color="CBD5E1" w:sz="6" w:space="10"/>
        </w:pBdr>
        <w:spacing w:after="320"/>
      </w:pPr>
      <w:r>
        <w:rPr>
          <w:b w:val="false"/>
          <w:bCs w:val="false"/>
          <w:i/>
          <w:iCs/>
          <w:color w:val="475569"/>
          <w:sz w:val="19"/>
          <w:szCs w:val="19"/>
        </w:rPr>
        <w:t xml:space="preserve">Ejemplo real generado con el mismo motor que sirve a los clientes. La plantilla es inventada. Están puestos los tres casos que cambian la lista: uno de baja, una con reducción de jornada y cuatro sin nada especial. La carpeta va a medias, como suele ir. Generado el 3 de septiembre de 2026.</w:t>
      </w:r>
    </w:p>
    <w:p>
      <w:pPr>
        <w:spacing w:after="200"/>
      </w:pPr>
      <w:r>
        <w:rPr>
          <w:b/>
          <w:bCs/>
          <w:color w:val="1D4ED8"/>
          <w:sz w:val="18"/>
          <w:szCs w:val="18"/>
        </w:rPr>
        <w:t xml:space="preserve">EXPEDIENTE DE SUBROGACIÓN — VIGILANCIA DEL HOSPITAL DE DÍA DE MOLINA</w:t>
      </w:r>
    </w:p>
    <w:p>
      <w:pPr>
        <w:pStyle w:val="Heading1"/>
        <w:spacing w:after="140" w:before="0"/>
      </w:pPr>
      <w:r>
        <w:rPr>
          <w:b w:val="false"/>
          <w:bCs w:val="false"/>
        </w:rPr>
        <w:t xml:space="preserve">Expediente de subrogación</w:t>
      </w:r>
    </w:p>
    <w:p>
      <w:pPr>
        <w:spacing w:after="140"/>
      </w:pPr>
      <w:r>
        <w:rPr>
          <w:b w:val="false"/>
          <w:bCs w:val="false"/>
        </w:rPr>
        <w:t xml:space="preserve">Vigilancia del Hospital de día de Molina · entrante: Protección Integral del Sureste S.L. Cesante: Seguridad Levante Vigilancia S.L. · 6 personas afectadas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
            </w:r>
          </w:p>
        </w:tc>
      </w:tr>
      <w:tr>
        <w:tc>
          <w:tcPr>
            <w:tcMar>
              <w:top w:type="dxa" w:w="80"/>
              <w:left w:type="dxa" w:w="120"/>
              <w:bottom w:type="dxa" w:w="80"/>
              <w:right w:type="dxa" w:w="120"/>
            </w:tcMar>
          </w:tcPr>
          <w:p>
            <w:pPr>
              <w:spacing w:after="0" w:before="0"/>
            </w:pPr>
            <w:r>
              <w:rPr>
                <w:b w:val="false"/>
                <w:bCs w:val="false"/>
                <w:color w:val="0F172A"/>
                <w:sz w:val="19"/>
                <w:szCs w:val="19"/>
              </w:rPr>
              <w:t xml:space="preserve">La entrante empieza el</w:t>
            </w:r>
          </w:p>
        </w:tc>
        <w:tc>
          <w:tcPr>
            <w:tcMar>
              <w:top w:type="dxa" w:w="80"/>
              <w:left w:type="dxa" w:w="120"/>
              <w:bottom w:type="dxa" w:w="80"/>
              <w:right w:type="dxa" w:w="120"/>
            </w:tcMar>
          </w:tcPr>
          <w:p>
            <w:pPr>
              <w:spacing w:after="0" w:before="0"/>
            </w:pPr>
            <w:r>
              <w:rPr>
                <w:b w:val="false"/>
                <w:bCs w:val="false"/>
                <w:color w:val="0F172A"/>
                <w:sz w:val="19"/>
                <w:szCs w:val="19"/>
              </w:rPr>
              <w:t xml:space="preserve">2026-10-01</w:t>
            </w:r>
          </w:p>
        </w:tc>
      </w:tr>
      <w:tr>
        <w:tc>
          <w:tcPr>
            <w:tcMar>
              <w:top w:type="dxa" w:w="80"/>
              <w:left w:type="dxa" w:w="120"/>
              <w:bottom w:type="dxa" w:w="80"/>
              <w:right w:type="dxa" w:w="120"/>
            </w:tcMar>
          </w:tcPr>
          <w:p>
            <w:pPr>
              <w:spacing w:after="0" w:before="0"/>
            </w:pPr>
            <w:r>
              <w:rPr>
                <w:b w:val="false"/>
                <w:bCs w:val="false"/>
                <w:color w:val="0F172A"/>
                <w:sz w:val="19"/>
                <w:szCs w:val="19"/>
              </w:rPr>
              <w:t xml:space="preserve">Documentación a disposición, como tarde</w:t>
            </w:r>
          </w:p>
        </w:tc>
        <w:tc>
          <w:tcPr>
            <w:tcMar>
              <w:top w:type="dxa" w:w="80"/>
              <w:left w:type="dxa" w:w="120"/>
              <w:bottom w:type="dxa" w:w="80"/>
              <w:right w:type="dxa" w:w="120"/>
            </w:tcMar>
          </w:tcPr>
          <w:p>
            <w:pPr>
              <w:spacing w:after="0" w:before="0"/>
            </w:pPr>
            <w:r>
              <w:rPr>
                <w:b/>
                <w:bCs/>
                <w:color w:val="0F172A"/>
                <w:sz w:val="19"/>
                <w:szCs w:val="19"/>
              </w:rPr>
              <w:t xml:space="preserve">2026-09-24</w:t>
            </w:r>
            <w:r>
              <w:rPr>
                <w:b w:val="false"/>
                <w:bCs w:val="false"/>
                <w:color w:val="0F172A"/>
                <w:sz w:val="19"/>
                <w:szCs w:val="19"/>
              </w:rPr>
              <w:t xml:space="preserve"> (cinco días hábiles antes)</w:t>
            </w:r>
          </w:p>
        </w:tc>
      </w:tr>
      <w:tr>
        <w:tc>
          <w:tcPr>
            <w:tcMar>
              <w:top w:type="dxa" w:w="80"/>
              <w:left w:type="dxa" w:w="120"/>
              <w:bottom w:type="dxa" w:w="80"/>
              <w:right w:type="dxa" w:w="120"/>
            </w:tcMar>
          </w:tcPr>
          <w:p>
            <w:pPr>
              <w:spacing w:after="0" w:before="0"/>
            </w:pPr>
            <w:r>
              <w:rPr>
                <w:b w:val="false"/>
                <w:bCs w:val="false"/>
                <w:color w:val="0F172A"/>
                <w:sz w:val="19"/>
                <w:szCs w:val="19"/>
              </w:rPr>
              <w:t xml:space="preserve">Quedan</w:t>
            </w:r>
          </w:p>
        </w:tc>
        <w:tc>
          <w:tcPr>
            <w:tcMar>
              <w:top w:type="dxa" w:w="80"/>
              <w:left w:type="dxa" w:w="120"/>
              <w:bottom w:type="dxa" w:w="80"/>
              <w:right w:type="dxa" w:w="120"/>
            </w:tcMar>
          </w:tcPr>
          <w:p>
            <w:pPr>
              <w:spacing w:after="0" w:before="0"/>
            </w:pPr>
            <w:r>
              <w:rPr>
                <w:b w:val="false"/>
                <w:bCs w:val="false"/>
                <w:color w:val="0F172A"/>
                <w:sz w:val="19"/>
                <w:szCs w:val="19"/>
              </w:rPr>
              <w:t xml:space="preserve">21 días</w:t>
            </w:r>
          </w:p>
        </w:tc>
      </w:tr>
    </w:tbl>
    <w:p>
      <w:pPr>
        <w:spacing w:after="160"/>
      </w:pPr>
    </w:p>
    <w:p>
      <w:pPr>
        <w:pStyle w:val="Heading2"/>
        <w:spacing w:after="140" w:before="320"/>
      </w:pPr>
      <w:r>
        <w:rPr>
          <w:b w:val="false"/>
          <w:bCs w:val="false"/>
        </w:rPr>
        <w:t xml:space="preserve">Documentos de empresa</w:t>
      </w:r>
    </w:p>
    <w:p>
      <w:pPr>
        <w:spacing w:after="60"/>
        <w:ind w:left="340" w:hanging="240"/>
      </w:pPr>
      <w:r>
        <w:rPr>
          <w:b/>
          <w:bCs/>
          <w:color w:val="1D4ED8"/>
        </w:rPr>
        <w:t xml:space="preserve">•	</w:t>
      </w:r>
      <w:r>
        <w:rPr>
          <w:b w:val="false"/>
          <w:bCs w:val="false"/>
        </w:rPr>
        <w:t xml:space="preserve">[x] </w:t>
      </w:r>
      <w:r>
        <w:rPr>
          <w:b/>
          <w:bCs/>
        </w:rPr>
        <w:t xml:space="preserve">a)</w:t>
      </w:r>
      <w:r>
        <w:rPr>
          <w:b w:val="false"/>
          <w:bCs w:val="false"/>
        </w:rPr>
        <w:t xml:space="preserve"> Relación de personas trabajadoras afectadas por la subrogación</w:t>
      </w:r>
    </w:p>
    <w:p>
      <w:pPr>
        <w:spacing w:after="60"/>
        <w:ind w:left="340" w:hanging="240"/>
      </w:pPr>
      <w:r>
        <w:rPr>
          <w:b/>
          <w:bCs/>
          <w:color w:val="1D4ED8"/>
        </w:rPr>
        <w:t xml:space="preserve">•	</w:t>
      </w:r>
      <w:r>
        <w:rPr>
          <w:b w:val="false"/>
          <w:bCs w:val="false"/>
        </w:rPr>
        <w:t xml:space="preserve">[ ] </w:t>
      </w:r>
      <w:r>
        <w:rPr>
          <w:b/>
          <w:bCs/>
        </w:rPr>
        <w:t xml:space="preserve">e)</w:t>
      </w:r>
      <w:r>
        <w:rPr>
          <w:b w:val="false"/>
          <w:bCs w:val="false"/>
        </w:rPr>
        <w:t xml:space="preserve"> Certificado de estar al corriente</w:t>
      </w:r>
    </w:p>
    <w:p>
      <w:pPr>
        <w:pStyle w:val="Heading2"/>
        <w:spacing w:after="140" w:before="320"/>
      </w:pPr>
      <w:r>
        <w:rPr>
          <w:b w:val="false"/>
          <w:bCs w:val="false"/>
        </w:rPr>
        <w:t xml:space="preserve">Por persona</w:t>
      </w:r>
    </w:p>
    <w:p>
      <w:pPr>
        <w:pStyle w:val="Heading3"/>
        <w:spacing w:after="140" w:before="320"/>
      </w:pPr>
      <w:r>
        <w:rPr>
          <w:b w:val="false"/>
          <w:bCs w:val="false"/>
        </w:rPr>
        <w:t xml:space="preserve">Iván Castro Ruiz — 76013428S</w:t>
      </w:r>
    </w:p>
    <w:p>
      <w:pPr>
        <w:spacing w:after="60"/>
        <w:ind w:left="340" w:hanging="240"/>
      </w:pPr>
      <w:r>
        <w:rPr>
          <w:b/>
          <w:bCs/>
          <w:color w:val="1D4ED8"/>
        </w:rPr>
        <w:t xml:space="preserve">•	</w:t>
      </w:r>
      <w:r>
        <w:rPr>
          <w:b w:val="false"/>
          <w:bCs w:val="false"/>
        </w:rPr>
        <w:t xml:space="preserve">[ ] </w:t>
      </w:r>
      <w:r>
        <w:rPr>
          <w:b/>
          <w:bCs/>
        </w:rPr>
        <w:t xml:space="preserve">b)</w:t>
      </w:r>
      <w:r>
        <w:rPr>
          <w:b w:val="false"/>
          <w:bCs w:val="false"/>
        </w:rPr>
        <w:t xml:space="preserve"> Certificación individual</w:t>
      </w:r>
    </w:p>
    <w:p>
      <w:pPr>
        <w:spacing w:after="60"/>
        <w:ind w:left="340" w:hanging="240"/>
      </w:pPr>
      <w:r>
        <w:rPr>
          <w:b/>
          <w:bCs/>
          <w:color w:val="1D4ED8"/>
        </w:rPr>
        <w:t xml:space="preserve">•	</w:t>
      </w:r>
      <w:r>
        <w:rPr>
          <w:b w:val="false"/>
          <w:bCs w:val="false"/>
        </w:rPr>
        <w:t xml:space="preserve">[ ] </w:t>
      </w:r>
      <w:r>
        <w:rPr>
          <w:b/>
          <w:bCs/>
        </w:rPr>
        <w:t xml:space="preserve">c)</w:t>
      </w:r>
      <w:r>
        <w:rPr>
          <w:b w:val="false"/>
          <w:bCs w:val="false"/>
        </w:rPr>
        <w:t xml:space="preserve"> Nóminas de los doce últimos meses</w:t>
      </w:r>
    </w:p>
    <w:p>
      <w:pPr>
        <w:spacing w:after="60"/>
        <w:ind w:left="340" w:hanging="240"/>
      </w:pPr>
      <w:r>
        <w:rPr>
          <w:b/>
          <w:bCs/>
          <w:color w:val="1D4ED8"/>
        </w:rPr>
        <w:t xml:space="preserve">•	</w:t>
      </w:r>
      <w:r>
        <w:rPr>
          <w:b w:val="false"/>
          <w:bCs w:val="false"/>
        </w:rPr>
        <w:t xml:space="preserve">[ ] </w:t>
      </w:r>
      <w:r>
        <w:rPr>
          <w:b/>
          <w:bCs/>
        </w:rPr>
        <w:t xml:space="preserve">d)</w:t>
      </w:r>
      <w:r>
        <w:rPr>
          <w:b w:val="false"/>
          <w:bCs w:val="false"/>
        </w:rPr>
        <w:t xml:space="preserve"> TC1 y TC2 de los últimos tres meses</w:t>
      </w:r>
    </w:p>
    <w:p>
      <w:pPr>
        <w:spacing w:after="60"/>
        <w:ind w:left="340" w:hanging="240"/>
      </w:pPr>
      <w:r>
        <w:rPr>
          <w:b/>
          <w:bCs/>
          <w:color w:val="1D4ED8"/>
        </w:rPr>
        <w:t xml:space="preserve">•	</w:t>
      </w:r>
      <w:r>
        <w:rPr>
          <w:b w:val="false"/>
          <w:bCs w:val="false"/>
        </w:rPr>
        <w:t xml:space="preserve">[ ] </w:t>
      </w:r>
      <w:r>
        <w:rPr>
          <w:b/>
          <w:bCs/>
        </w:rPr>
        <w:t xml:space="preserve">f)</w:t>
      </w:r>
      <w:r>
        <w:rPr>
          <w:b w:val="false"/>
          <w:bCs w:val="false"/>
        </w:rPr>
        <w:t xml:space="preserve"> Contratos y condiciones más beneficiosas</w:t>
      </w:r>
    </w:p>
    <w:p>
      <w:pPr>
        <w:spacing w:after="60"/>
        <w:ind w:left="340" w:hanging="240"/>
      </w:pPr>
      <w:r>
        <w:rPr>
          <w:b/>
          <w:bCs/>
          <w:color w:val="1D4ED8"/>
        </w:rPr>
        <w:t xml:space="preserve">•	</w:t>
      </w:r>
      <w:r>
        <w:rPr>
          <w:b w:val="false"/>
          <w:bCs w:val="false"/>
        </w:rPr>
        <w:t xml:space="preserve">[ ] </w:t>
      </w:r>
      <w:r>
        <w:rPr>
          <w:b/>
          <w:bCs/>
        </w:rPr>
        <w:t xml:space="preserve">g)</w:t>
      </w:r>
      <w:r>
        <w:rPr>
          <w:b w:val="false"/>
          <w:bCs w:val="false"/>
        </w:rPr>
        <w:t xml:space="preserve"> Cartilla profesional, TIP y licencia de armas</w:t>
      </w:r>
    </w:p>
    <w:p>
      <w:pPr>
        <w:spacing w:after="60"/>
        <w:ind w:left="340" w:hanging="240"/>
      </w:pPr>
      <w:r>
        <w:rPr>
          <w:b/>
          <w:bCs/>
          <w:color w:val="1D4ED8"/>
        </w:rPr>
        <w:t xml:space="preserve">•	</w:t>
      </w:r>
      <w:r>
        <w:rPr>
          <w:b w:val="false"/>
          <w:bCs w:val="false"/>
        </w:rPr>
        <w:t xml:space="preserve">[ ] </w:t>
      </w:r>
      <w:r>
        <w:rPr>
          <w:b/>
          <w:bCs/>
        </w:rPr>
        <w:t xml:space="preserve">i)</w:t>
      </w:r>
      <w:r>
        <w:rPr>
          <w:b w:val="false"/>
          <w:bCs w:val="false"/>
        </w:rPr>
        <w:t xml:space="preserve"> Cuadrantes de los siete meses anteriores</w:t>
      </w:r>
    </w:p>
    <w:p>
      <w:pPr>
        <w:pStyle w:val="Heading3"/>
        <w:spacing w:after="140" w:before="320"/>
      </w:pPr>
      <w:r>
        <w:rPr>
          <w:b w:val="false"/>
          <w:bCs w:val="false"/>
        </w:rPr>
        <w:t xml:space="preserve">Cristina Vega Soler — 51203984P · situación especial</w:t>
      </w:r>
    </w:p>
    <w:p>
      <w:pPr>
        <w:spacing w:after="60"/>
        <w:ind w:left="340" w:hanging="240"/>
      </w:pPr>
      <w:r>
        <w:rPr>
          <w:b/>
          <w:bCs/>
          <w:color w:val="1D4ED8"/>
        </w:rPr>
        <w:t xml:space="preserve">•	</w:t>
      </w:r>
      <w:r>
        <w:rPr>
          <w:b w:val="false"/>
          <w:bCs w:val="false"/>
        </w:rPr>
        <w:t xml:space="preserve">[ ] </w:t>
      </w:r>
      <w:r>
        <w:rPr>
          <w:b/>
          <w:bCs/>
        </w:rPr>
        <w:t xml:space="preserve">d)</w:t>
      </w:r>
      <w:r>
        <w:rPr>
          <w:b w:val="false"/>
          <w:bCs w:val="false"/>
        </w:rPr>
        <w:t xml:space="preserve"> TC1 y TC2 de los últimos tres meses</w:t>
      </w:r>
    </w:p>
    <w:p>
      <w:pPr>
        <w:spacing w:after="60"/>
        <w:ind w:left="340" w:hanging="240"/>
      </w:pPr>
      <w:r>
        <w:rPr>
          <w:b/>
          <w:bCs/>
          <w:color w:val="1D4ED8"/>
        </w:rPr>
        <w:t xml:space="preserve">•	</w:t>
      </w:r>
      <w:r>
        <w:rPr>
          <w:b w:val="false"/>
          <w:bCs w:val="false"/>
        </w:rPr>
        <w:t xml:space="preserve">[ ] </w:t>
      </w:r>
      <w:r>
        <w:rPr>
          <w:b/>
          <w:bCs/>
        </w:rPr>
        <w:t xml:space="preserve">f)</w:t>
      </w:r>
      <w:r>
        <w:rPr>
          <w:b w:val="false"/>
          <w:bCs w:val="false"/>
        </w:rPr>
        <w:t xml:space="preserve"> Contratos y condiciones más beneficiosas</w:t>
      </w:r>
    </w:p>
    <w:p>
      <w:pPr>
        <w:spacing w:after="60"/>
        <w:ind w:left="340" w:hanging="240"/>
      </w:pPr>
      <w:r>
        <w:rPr>
          <w:b/>
          <w:bCs/>
          <w:color w:val="1D4ED8"/>
        </w:rPr>
        <w:t xml:space="preserve">•	</w:t>
      </w:r>
      <w:r>
        <w:rPr>
          <w:b w:val="false"/>
          <w:bCs w:val="false"/>
        </w:rPr>
        <w:t xml:space="preserve">[ ] </w:t>
      </w:r>
      <w:r>
        <w:rPr>
          <w:b/>
          <w:bCs/>
        </w:rPr>
        <w:t xml:space="preserve">g)</w:t>
      </w:r>
      <w:r>
        <w:rPr>
          <w:b w:val="false"/>
          <w:bCs w:val="false"/>
        </w:rPr>
        <w:t xml:space="preserve"> Cartilla profesional, TIP y licencia de armas</w:t>
      </w:r>
    </w:p>
    <w:p>
      <w:pPr>
        <w:spacing w:after="60"/>
        <w:ind w:left="340" w:hanging="240"/>
      </w:pPr>
      <w:r>
        <w:rPr>
          <w:b/>
          <w:bCs/>
          <w:color w:val="1D4ED8"/>
        </w:rPr>
        <w:t xml:space="preserve">•	</w:t>
      </w:r>
      <w:r>
        <w:rPr>
          <w:b w:val="false"/>
          <w:bCs w:val="false"/>
        </w:rPr>
        <w:t xml:space="preserve">[ ] </w:t>
      </w:r>
      <w:r>
        <w:rPr>
          <w:b/>
          <w:bCs/>
        </w:rPr>
        <w:t xml:space="preserve">i)</w:t>
      </w:r>
      <w:r>
        <w:rPr>
          <w:b w:val="false"/>
          <w:bCs w:val="false"/>
        </w:rPr>
        <w:t xml:space="preserve"> Cuadrantes de los siete meses anteriores</w:t>
      </w:r>
    </w:p>
    <w:p>
      <w:pPr>
        <w:spacing w:after="60"/>
        <w:ind w:left="340" w:hanging="240"/>
      </w:pPr>
      <w:r>
        <w:rPr>
          <w:b/>
          <w:bCs/>
          <w:color w:val="1D4ED8"/>
        </w:rPr>
        <w:t xml:space="preserve">•	</w:t>
      </w:r>
      <w:r>
        <w:rPr>
          <w:b w:val="false"/>
          <w:bCs w:val="false"/>
        </w:rPr>
        <w:t xml:space="preserve">[ ] </w:t>
      </w:r>
      <w:r>
        <w:rPr>
          <w:b/>
          <w:bCs/>
        </w:rPr>
        <w:t xml:space="preserve">j)</w:t>
      </w:r>
      <w:r>
        <w:rPr>
          <w:b w:val="false"/>
          <w:bCs w:val="false"/>
        </w:rPr>
        <w:t xml:space="preserve"> Justificación de la situación especial</w:t>
      </w:r>
    </w:p>
    <w:p>
      <w:pPr>
        <w:pStyle w:val="Heading3"/>
        <w:spacing w:after="140" w:before="320"/>
      </w:pPr>
      <w:r>
        <w:rPr>
          <w:b w:val="false"/>
          <w:bCs w:val="false"/>
        </w:rPr>
        <w:t xml:space="preserve">Rocío Peña Marín — 29457106D</w:t>
      </w:r>
    </w:p>
    <w:p>
      <w:pPr>
        <w:spacing w:after="60"/>
        <w:ind w:left="340" w:hanging="240"/>
      </w:pPr>
      <w:r>
        <w:rPr>
          <w:b/>
          <w:bCs/>
          <w:color w:val="1D4ED8"/>
        </w:rPr>
        <w:t xml:space="preserve">•	</w:t>
      </w:r>
      <w:r>
        <w:rPr>
          <w:b w:val="false"/>
          <w:bCs w:val="false"/>
        </w:rPr>
        <w:t xml:space="preserve">[ ] </w:t>
      </w:r>
      <w:r>
        <w:rPr>
          <w:b/>
          <w:bCs/>
        </w:rPr>
        <w:t xml:space="preserve">c)</w:t>
      </w:r>
      <w:r>
        <w:rPr>
          <w:b w:val="false"/>
          <w:bCs w:val="false"/>
        </w:rPr>
        <w:t xml:space="preserve"> Nóminas de los doce últimos meses</w:t>
      </w:r>
    </w:p>
    <w:p>
      <w:pPr>
        <w:spacing w:after="60"/>
        <w:ind w:left="340" w:hanging="240"/>
      </w:pPr>
      <w:r>
        <w:rPr>
          <w:b/>
          <w:bCs/>
          <w:color w:val="1D4ED8"/>
        </w:rPr>
        <w:t xml:space="preserve">•	</w:t>
      </w:r>
      <w:r>
        <w:rPr>
          <w:b w:val="false"/>
          <w:bCs w:val="false"/>
        </w:rPr>
        <w:t xml:space="preserve">[ ] </w:t>
      </w:r>
      <w:r>
        <w:rPr>
          <w:b/>
          <w:bCs/>
        </w:rPr>
        <w:t xml:space="preserve">d)</w:t>
      </w:r>
      <w:r>
        <w:rPr>
          <w:b w:val="false"/>
          <w:bCs w:val="false"/>
        </w:rPr>
        <w:t xml:space="preserve"> TC1 y TC2 de los últimos tres meses</w:t>
      </w:r>
    </w:p>
    <w:p>
      <w:pPr>
        <w:spacing w:after="60"/>
        <w:ind w:left="340" w:hanging="240"/>
      </w:pPr>
      <w:r>
        <w:rPr>
          <w:b/>
          <w:bCs/>
          <w:color w:val="1D4ED8"/>
        </w:rPr>
        <w:t xml:space="preserve">•	</w:t>
      </w:r>
      <w:r>
        <w:rPr>
          <w:b w:val="false"/>
          <w:bCs w:val="false"/>
        </w:rPr>
        <w:t xml:space="preserve">[ ] </w:t>
      </w:r>
      <w:r>
        <w:rPr>
          <w:b/>
          <w:bCs/>
        </w:rPr>
        <w:t xml:space="preserve">f)</w:t>
      </w:r>
      <w:r>
        <w:rPr>
          <w:b w:val="false"/>
          <w:bCs w:val="false"/>
        </w:rPr>
        <w:t xml:space="preserve"> Contratos y condiciones más beneficiosas</w:t>
      </w:r>
    </w:p>
    <w:p>
      <w:pPr>
        <w:spacing w:after="60"/>
        <w:ind w:left="340" w:hanging="240"/>
      </w:pPr>
      <w:r>
        <w:rPr>
          <w:b/>
          <w:bCs/>
          <w:color w:val="1D4ED8"/>
        </w:rPr>
        <w:t xml:space="preserve">•	</w:t>
      </w:r>
      <w:r>
        <w:rPr>
          <w:b w:val="false"/>
          <w:bCs w:val="false"/>
        </w:rPr>
        <w:t xml:space="preserve">[ ] </w:t>
      </w:r>
      <w:r>
        <w:rPr>
          <w:b/>
          <w:bCs/>
        </w:rPr>
        <w:t xml:space="preserve">g)</w:t>
      </w:r>
      <w:r>
        <w:rPr>
          <w:b w:val="false"/>
          <w:bCs w:val="false"/>
        </w:rPr>
        <w:t xml:space="preserve"> Cartilla profesional, TIP y licencia de armas</w:t>
      </w:r>
    </w:p>
    <w:p>
      <w:pPr>
        <w:spacing w:after="60"/>
        <w:ind w:left="340" w:hanging="240"/>
      </w:pPr>
      <w:r>
        <w:rPr>
          <w:b/>
          <w:bCs/>
          <w:color w:val="1D4ED8"/>
        </w:rPr>
        <w:t xml:space="preserve">•	</w:t>
      </w:r>
      <w:r>
        <w:rPr>
          <w:b w:val="false"/>
          <w:bCs w:val="false"/>
        </w:rPr>
        <w:t xml:space="preserve">[ ] </w:t>
      </w:r>
      <w:r>
        <w:rPr>
          <w:b/>
          <w:bCs/>
        </w:rPr>
        <w:t xml:space="preserve">i)</w:t>
      </w:r>
      <w:r>
        <w:rPr>
          <w:b w:val="false"/>
          <w:bCs w:val="false"/>
        </w:rPr>
        <w:t xml:space="preserve"> Cuadrantes de los siete meses anteriores</w:t>
      </w:r>
    </w:p>
    <w:p>
      <w:pPr>
        <w:pStyle w:val="Heading3"/>
        <w:spacing w:after="140" w:before="320"/>
      </w:pPr>
      <w:r>
        <w:rPr>
          <w:b w:val="false"/>
          <w:bCs w:val="false"/>
        </w:rPr>
        <w:t xml:space="preserve">Miguel Torres Alba — 22984017K · de baja</w:t>
      </w:r>
    </w:p>
    <w:p>
      <w:pPr>
        <w:spacing w:after="60"/>
        <w:ind w:left="340" w:hanging="240"/>
      </w:pPr>
      <w:r>
        <w:rPr>
          <w:b/>
          <w:bCs/>
          <w:color w:val="1D4ED8"/>
        </w:rPr>
        <w:t xml:space="preserve">•	</w:t>
      </w:r>
      <w:r>
        <w:rPr>
          <w:b w:val="false"/>
          <w:bCs w:val="false"/>
        </w:rPr>
        <w:t xml:space="preserve">[ ] </w:t>
      </w:r>
      <w:r>
        <w:rPr>
          <w:b/>
          <w:bCs/>
        </w:rPr>
        <w:t xml:space="preserve">f)</w:t>
      </w:r>
      <w:r>
        <w:rPr>
          <w:b w:val="false"/>
          <w:bCs w:val="false"/>
        </w:rPr>
        <w:t xml:space="preserve"> Contratos y condiciones más beneficiosas</w:t>
      </w:r>
    </w:p>
    <w:p>
      <w:pPr>
        <w:spacing w:after="60"/>
        <w:ind w:left="340" w:hanging="240"/>
      </w:pPr>
      <w:r>
        <w:rPr>
          <w:b/>
          <w:bCs/>
          <w:color w:val="1D4ED8"/>
        </w:rPr>
        <w:t xml:space="preserve">•	</w:t>
      </w:r>
      <w:r>
        <w:rPr>
          <w:b w:val="false"/>
          <w:bCs w:val="false"/>
        </w:rPr>
        <w:t xml:space="preserve">[ ] </w:t>
      </w:r>
      <w:r>
        <w:rPr>
          <w:b/>
          <w:bCs/>
        </w:rPr>
        <w:t xml:space="preserve">g)</w:t>
      </w:r>
      <w:r>
        <w:rPr>
          <w:b w:val="false"/>
          <w:bCs w:val="false"/>
        </w:rPr>
        <w:t xml:space="preserve"> Cartilla profesional, TIP y licencia de armas</w:t>
      </w:r>
    </w:p>
    <w:p>
      <w:pPr>
        <w:spacing w:after="60"/>
        <w:ind w:left="340" w:hanging="240"/>
      </w:pPr>
      <w:r>
        <w:rPr>
          <w:b/>
          <w:bCs/>
          <w:color w:val="1D4ED8"/>
        </w:rPr>
        <w:t xml:space="preserve">•	</w:t>
      </w:r>
      <w:r>
        <w:rPr>
          <w:b w:val="false"/>
          <w:bCs w:val="false"/>
        </w:rPr>
        <w:t xml:space="preserve">[ ] </w:t>
      </w:r>
      <w:r>
        <w:rPr>
          <w:b/>
          <w:bCs/>
        </w:rPr>
        <w:t xml:space="preserve">h)</w:t>
      </w:r>
      <w:r>
        <w:rPr>
          <w:b w:val="false"/>
          <w:bCs w:val="false"/>
        </w:rPr>
        <w:t xml:space="preserve"> Parte de baja y último parte de confirmación</w:t>
      </w:r>
    </w:p>
    <w:p>
      <w:pPr>
        <w:spacing w:after="60"/>
        <w:ind w:left="340" w:hanging="240"/>
      </w:pPr>
      <w:r>
        <w:rPr>
          <w:b/>
          <w:bCs/>
          <w:color w:val="1D4ED8"/>
        </w:rPr>
        <w:t xml:space="preserve">•	</w:t>
      </w:r>
      <w:r>
        <w:rPr>
          <w:b w:val="false"/>
          <w:bCs w:val="false"/>
        </w:rPr>
        <w:t xml:space="preserve">[ ] </w:t>
      </w:r>
      <w:r>
        <w:rPr>
          <w:b/>
          <w:bCs/>
        </w:rPr>
        <w:t xml:space="preserve">i)</w:t>
      </w:r>
      <w:r>
        <w:rPr>
          <w:b w:val="false"/>
          <w:bCs w:val="false"/>
        </w:rPr>
        <w:t xml:space="preserve"> Cuadrantes de los siete meses anteriores</w:t>
      </w:r>
    </w:p>
    <w:p>
      <w:pPr>
        <w:pStyle w:val="Heading3"/>
        <w:spacing w:after="140" w:before="320"/>
      </w:pPr>
      <w:r>
        <w:rPr>
          <w:b w:val="false"/>
          <w:bCs w:val="false"/>
        </w:rPr>
        <w:t xml:space="preserve">José Antonio Nieto Gil — 48120375M</w:t>
      </w:r>
    </w:p>
    <w:p>
      <w:pPr>
        <w:spacing w:after="60"/>
        <w:ind w:left="340" w:hanging="240"/>
      </w:pPr>
      <w:r>
        <w:rPr>
          <w:b/>
          <w:bCs/>
          <w:color w:val="1D4ED8"/>
        </w:rPr>
        <w:t xml:space="preserve">•	</w:t>
      </w:r>
      <w:r>
        <w:rPr>
          <w:b w:val="false"/>
          <w:bCs w:val="false"/>
        </w:rPr>
        <w:t xml:space="preserve">[ ] </w:t>
      </w:r>
      <w:r>
        <w:rPr>
          <w:b/>
          <w:bCs/>
        </w:rPr>
        <w:t xml:space="preserve">g)</w:t>
      </w:r>
      <w:r>
        <w:rPr>
          <w:b w:val="false"/>
          <w:bCs w:val="false"/>
        </w:rPr>
        <w:t xml:space="preserve"> Cartilla profesional, TIP y licencia de armas</w:t>
      </w:r>
    </w:p>
    <w:p>
      <w:pPr>
        <w:spacing w:after="60"/>
        <w:ind w:left="340" w:hanging="240"/>
      </w:pPr>
      <w:r>
        <w:rPr>
          <w:b/>
          <w:bCs/>
          <w:color w:val="1D4ED8"/>
        </w:rPr>
        <w:t xml:space="preserve">•	</w:t>
      </w:r>
      <w:r>
        <w:rPr>
          <w:b w:val="false"/>
          <w:bCs w:val="false"/>
        </w:rPr>
        <w:t xml:space="preserve">[ ] </w:t>
      </w:r>
      <w:r>
        <w:rPr>
          <w:b/>
          <w:bCs/>
        </w:rPr>
        <w:t xml:space="preserve">i)</w:t>
      </w:r>
      <w:r>
        <w:rPr>
          <w:b w:val="false"/>
          <w:bCs w:val="false"/>
        </w:rPr>
        <w:t xml:space="preserve"> Cuadrantes de los siete meses anteriores</w:t>
      </w:r>
    </w:p>
    <w:p>
      <w:pPr>
        <w:pStyle w:val="Heading3"/>
        <w:spacing w:after="140" w:before="320"/>
      </w:pPr>
      <w:r>
        <w:rPr>
          <w:b w:val="false"/>
          <w:bCs w:val="false"/>
        </w:rPr>
        <w:t xml:space="preserve">Ana Ruiz Molina — 34871290H</w:t>
      </w:r>
    </w:p>
    <w:p>
      <w:pPr>
        <w:spacing w:after="140"/>
      </w:pPr>
      <w:r>
        <w:rPr>
          <w:b w:val="false"/>
          <w:bCs w:val="false"/>
        </w:rPr>
        <w:t xml:space="preserve">Completo.</w:t>
      </w:r>
    </w:p>
    <w:p>
      <w:pPr>
        <w:pStyle w:val="Heading2"/>
        <w:spacing w:after="140" w:before="320"/>
      </w:pPr>
      <w:r>
        <w:rPr>
          <w:b w:val="false"/>
          <w:bCs w:val="false"/>
        </w:rPr>
        <w:t xml:space="preserve">Lo que dice el convenio, por si te lo discuten</w:t>
      </w:r>
    </w:p>
    <w:p>
      <w:pPr>
        <w:spacing w:after="60"/>
        <w:ind w:left="340" w:hanging="240"/>
      </w:pPr>
      <w:r>
        <w:rPr>
          <w:b/>
          <w:bCs/>
          <w:color w:val="1D4ED8"/>
        </w:rPr>
        <w:t xml:space="preserve">•	</w:t>
      </w:r>
      <w:r>
        <w:rPr>
          <w:b/>
          <w:bCs/>
        </w:rPr>
        <w:t xml:space="preserve">a)</w:t>
      </w:r>
      <w:r>
        <w:rPr>
          <w:b w:val="false"/>
          <w:bCs w:val="false"/>
        </w:rPr>
        <w:t xml:space="preserve"> Relación de personas trabajadoras afectadas por la subrogación.</w:t>
      </w:r>
    </w:p>
    <w:p>
      <w:pPr>
        <w:spacing w:after="60"/>
        <w:ind w:left="340" w:hanging="240"/>
      </w:pPr>
      <w:r>
        <w:rPr>
          <w:b/>
          <w:bCs/>
          <w:color w:val="1D4ED8"/>
        </w:rPr>
        <w:t xml:space="preserve">•	</w:t>
      </w:r>
      <w:r>
        <w:rPr>
          <w:b/>
          <w:bCs/>
        </w:rPr>
        <w:t xml:space="preserve">b)</w:t>
      </w:r>
      <w:r>
        <w:rPr>
          <w:b w:val="false"/>
          <w:bCs w:val="false"/>
        </w:rPr>
        <w:t xml:space="preserve"> Certificación individual por cada persona trabajadora en la que deberá constar los datos de contacto de la misma, los incluidos en el modelo 145 del IRPF, los necesarios para cursar el Alta en Seguridad Social, la naturaleza del contrato de trabajo vigente y su nivel funcional.</w:t>
      </w:r>
    </w:p>
    <w:p>
      <w:pPr>
        <w:spacing w:after="60"/>
        <w:ind w:left="340" w:hanging="240"/>
      </w:pPr>
      <w:r>
        <w:rPr>
          <w:b/>
          <w:bCs/>
          <w:color w:val="1D4ED8"/>
        </w:rPr>
        <w:t xml:space="preserve">•	</w:t>
      </w:r>
      <w:r>
        <w:rPr>
          <w:b/>
          <w:bCs/>
        </w:rPr>
        <w:t xml:space="preserve">c)</w:t>
      </w:r>
      <w:r>
        <w:rPr>
          <w:b w:val="false"/>
          <w:bCs w:val="false"/>
        </w:rPr>
        <w:t xml:space="preserve"> Copia de las nóminas de los doce últimos meses, o período inferior según procediere, así como la correspondiente a la última paga extraordinaria.</w:t>
      </w:r>
    </w:p>
    <w:p>
      <w:pPr>
        <w:spacing w:after="60"/>
        <w:ind w:left="340" w:hanging="240"/>
      </w:pPr>
      <w:r>
        <w:rPr>
          <w:b/>
          <w:bCs/>
          <w:color w:val="1D4ED8"/>
        </w:rPr>
        <w:t xml:space="preserve">•	</w:t>
      </w:r>
      <w:r>
        <w:rPr>
          <w:b/>
          <w:bCs/>
        </w:rPr>
        <w:t xml:space="preserve">d)</w:t>
      </w:r>
      <w:r>
        <w:rPr>
          <w:b w:val="false"/>
          <w:bCs w:val="false"/>
        </w:rPr>
        <w:t xml:space="preserve"> Copias de los TC1 y TC2 de cotización a la Seguridad Social de los últimos tres meses, o período inferior si procediera, con acreditación de su pago.</w:t>
      </w:r>
    </w:p>
    <w:p>
      <w:pPr>
        <w:spacing w:after="60"/>
        <w:ind w:left="340" w:hanging="240"/>
      </w:pPr>
      <w:r>
        <w:rPr>
          <w:b/>
          <w:bCs/>
          <w:color w:val="1D4ED8"/>
        </w:rPr>
        <w:t xml:space="preserve">•	</w:t>
      </w:r>
      <w:r>
        <w:rPr>
          <w:b/>
          <w:bCs/>
        </w:rPr>
        <w:t xml:space="preserve">e)</w:t>
      </w:r>
      <w:r>
        <w:rPr>
          <w:b w:val="false"/>
          <w:bCs w:val="false"/>
        </w:rPr>
        <w:t xml:space="preserve"> Certificado de estar al corriente del pago de las obligaciones con la Seguridad Social y la Agencia Tributaria.</w:t>
      </w:r>
    </w:p>
    <w:p>
      <w:pPr>
        <w:spacing w:after="60"/>
        <w:ind w:left="340" w:hanging="240"/>
      </w:pPr>
      <w:r>
        <w:rPr>
          <w:b/>
          <w:bCs/>
          <w:color w:val="1D4ED8"/>
        </w:rPr>
        <w:t xml:space="preserve">•	</w:t>
      </w:r>
      <w:r>
        <w:rPr>
          <w:b/>
          <w:bCs/>
        </w:rPr>
        <w:t xml:space="preserve">f)</w:t>
      </w:r>
      <w:r>
        <w:rPr>
          <w:b w:val="false"/>
          <w:bCs w:val="false"/>
        </w:rPr>
        <w:t xml:space="preserve"> Copia de los contratos de trabajo suscritos cuando se hayan concertado por escrito, así como copia de todos los documentos, resoluciones administrativas o judiciales, acuerdos o pactos individuales o de empresa que afecten a la persona trabajadora como condición más beneficiosa, incluida la vida laboral de afiliado al código de cotización correspondiente.</w:t>
      </w:r>
    </w:p>
    <w:p>
      <w:pPr>
        <w:spacing w:after="60"/>
        <w:ind w:left="340" w:hanging="240"/>
      </w:pPr>
      <w:r>
        <w:rPr>
          <w:b/>
          <w:bCs/>
          <w:color w:val="1D4ED8"/>
        </w:rPr>
        <w:t xml:space="preserve">•	</w:t>
      </w:r>
      <w:r>
        <w:rPr>
          <w:b/>
          <w:bCs/>
        </w:rPr>
        <w:t xml:space="preserve">g)</w:t>
      </w:r>
      <w:r>
        <w:rPr>
          <w:b w:val="false"/>
          <w:bCs w:val="false"/>
        </w:rPr>
        <w:t xml:space="preserve"> Copias de la Cartilla Profesional, Tarjeta de Identidad Profesional y, en su caso, Licencia de Armas.</w:t>
      </w:r>
    </w:p>
    <w:p>
      <w:pPr>
        <w:spacing w:after="60"/>
        <w:ind w:left="340" w:hanging="240"/>
      </w:pPr>
      <w:r>
        <w:rPr>
          <w:b/>
          <w:bCs/>
          <w:color w:val="1D4ED8"/>
        </w:rPr>
        <w:t xml:space="preserve">•	</w:t>
      </w:r>
      <w:r>
        <w:rPr>
          <w:b/>
          <w:bCs/>
        </w:rPr>
        <w:t xml:space="preserve">h)</w:t>
      </w:r>
      <w:r>
        <w:rPr>
          <w:b w:val="false"/>
          <w:bCs w:val="false"/>
        </w:rPr>
        <w:t xml:space="preserve"> Parte de Baja por Incapacidad Temporal y último parte de confirmación de las personas trabajadoras que se encuentren en tal situación en el momento de producirse la subrogación.</w:t>
      </w:r>
    </w:p>
    <w:p>
      <w:pPr>
        <w:spacing w:after="60"/>
        <w:ind w:left="340" w:hanging="240"/>
      </w:pPr>
      <w:r>
        <w:rPr>
          <w:b/>
          <w:bCs/>
          <w:color w:val="1D4ED8"/>
        </w:rPr>
        <w:t xml:space="preserve">•	</w:t>
      </w:r>
      <w:r>
        <w:rPr>
          <w:b/>
          <w:bCs/>
        </w:rPr>
        <w:t xml:space="preserve">i)</w:t>
      </w:r>
      <w:r>
        <w:rPr>
          <w:b w:val="false"/>
          <w:bCs w:val="false"/>
        </w:rPr>
        <w:t xml:space="preserve"> Copia de los cuadrantes de los siete meses anteriores a la fecha de subrogación. En caso de existir cuadrante anual, habrá de incluirse el mismo.</w:t>
      </w:r>
    </w:p>
    <w:p>
      <w:pPr>
        <w:spacing w:after="60"/>
        <w:ind w:left="340" w:hanging="240"/>
      </w:pPr>
      <w:r>
        <w:rPr>
          <w:b/>
          <w:bCs/>
          <w:color w:val="1D4ED8"/>
        </w:rPr>
        <w:t xml:space="preserve">•	</w:t>
      </w:r>
      <w:r>
        <w:rPr>
          <w:b/>
          <w:bCs/>
        </w:rPr>
        <w:t xml:space="preserve">j)</w:t>
      </w:r>
      <w:r>
        <w:rPr>
          <w:b w:val="false"/>
          <w:bCs w:val="false"/>
        </w:rPr>
        <w:t xml:space="preserve"> Documentación justificativa de la situación especial en que se encuentre la persona trabajadora: reducción de jornada, guarda legal, baja por maternidad y paternidad, excedencias y análogas.</w:t>
      </w:r>
    </w:p>
    <w:p>
      <w:pPr>
        <w:spacing w:after="60"/>
        <w:ind w:left="340" w:hanging="240"/>
      </w:pPr>
      <w:r>
        <w:rPr>
          <w:b/>
          <w:bCs/>
          <w:color w:val="1D4ED8"/>
        </w:rPr>
        <w:t xml:space="preserve">•	</w:t>
      </w:r>
      <w:r>
        <w:rPr>
          <w:b/>
          <w:bCs/>
        </w:rPr>
        <w:t xml:space="preserve">k)</w:t>
      </w:r>
      <w:r>
        <w:rPr>
          <w:b w:val="false"/>
          <w:bCs w:val="false"/>
        </w:rPr>
        <w:t xml:space="preserve"> Cualquier otro documento que proceda o se requiera a estos efectos, necesario o preceptivo, por la adjudicataria entrante.</w:t>
      </w:r>
    </w:p>
    <w:p>
      <w:pPr>
        <w:pStyle w:val="Heading2"/>
        <w:spacing w:after="140" w:before="320"/>
      </w:pPr>
      <w:r>
        <w:rPr>
          <w:b w:val="false"/>
          <w:bCs w:val="false"/>
        </w:rPr>
        <w:t xml:space="preserve">Además de la documentación</w:t>
      </w:r>
    </w:p>
    <w:p>
      <w:pPr>
        <w:spacing w:after="60"/>
        <w:ind w:left="340" w:hanging="240"/>
      </w:pPr>
      <w:r>
        <w:rPr>
          <w:b/>
          <w:bCs/>
          <w:color w:val="1D4ED8"/>
        </w:rPr>
        <w:t xml:space="preserve">•	</w:t>
      </w:r>
      <w:r>
        <w:rPr>
          <w:b w:val="false"/>
          <w:bCs w:val="false"/>
        </w:rPr>
        <w:t xml:space="preserve">Atender, como único y exclusivo obligado, los pagos y cuotas derivados de la prestación del trabajo hasta el momento del cese en la adjudicación.</w:t>
      </w:r>
    </w:p>
    <w:p>
      <w:pPr>
        <w:spacing w:after="60"/>
        <w:ind w:left="340" w:hanging="240"/>
      </w:pPr>
      <w:r>
        <w:rPr>
          <w:b/>
          <w:bCs/>
          <w:color w:val="1D4ED8"/>
        </w:rPr>
        <w:t xml:space="preserve">•	</w:t>
      </w:r>
      <w:r>
        <w:rPr>
          <w:b w:val="false"/>
          <w:bCs w:val="false"/>
        </w:rPr>
        <w:t xml:space="preserve">Atender la liquidación por todos los conceptos, incluidas vacaciones: la subrogación solo implica para la nueva empresa la obligación de mantener el empleo.</w:t>
      </w:r>
    </w:p>
    <w:p>
      <w:pPr>
        <w:spacing w:after="60"/>
        <w:ind w:left="340" w:hanging="240"/>
      </w:pPr>
      <w:r>
        <w:rPr>
          <w:b/>
          <w:bCs/>
          <w:color w:val="1D4ED8"/>
        </w:rPr>
        <w:t xml:space="preserve">•	</w:t>
      </w:r>
      <w:r>
        <w:rPr>
          <w:b w:val="false"/>
          <w:bCs w:val="false"/>
        </w:rPr>
        <w:t xml:space="preserve">Entregar a la Representación Legal de las Personas Trabajadoras la relación de las personas afectadas por la subrogación.</w:t>
      </w:r>
    </w:p>
    <w:p>
      <w:pPr>
        <w:pStyle w:val="Heading2"/>
        <w:spacing w:after="140" w:before="320"/>
      </w:pPr>
      <w:r>
        <w:rPr>
          <w:b w:val="false"/>
          <w:bCs w:val="false"/>
        </w:rPr>
        <w:t xml:space="preserve">Advertencias</w:t>
      </w:r>
    </w:p>
    <w:p>
      <w:pPr>
        <w:spacing w:after="60"/>
        <w:ind w:left="340" w:hanging="240"/>
      </w:pPr>
      <w:r>
        <w:rPr>
          <w:b/>
          <w:bCs/>
          <w:color w:val="1D4ED8"/>
        </w:rPr>
        <w:t xml:space="preserve">•	</w:t>
      </w:r>
      <w:r>
        <w:rPr>
          <w:b w:val="false"/>
          <w:bCs w:val="false"/>
        </w:rPr>
        <w:t xml:space="preserve">Una persona está de baja: además de lo común, hay que aportar el parte de baja y el último parte de confirmación (letra h).</w:t>
      </w:r>
    </w:p>
    <w:p>
      <w:pPr>
        <w:spacing w:after="60"/>
        <w:ind w:left="340" w:hanging="240"/>
      </w:pPr>
      <w:r>
        <w:rPr>
          <w:b/>
          <w:bCs/>
          <w:color w:val="1D4ED8"/>
        </w:rPr>
        <w:t xml:space="preserve">•	</w:t>
      </w:r>
      <w:r>
        <w:rPr>
          <w:b w:val="false"/>
          <w:bCs w:val="false"/>
        </w:rPr>
        <w:t xml:space="preserve">Una persona tiene una situación especial: hay que justificarla documentalmente (letra j).</w:t>
      </w:r>
    </w:p>
    <w:p>
      <w:pPr>
        <w:spacing w:after="60"/>
        <w:ind w:left="340" w:hanging="240"/>
      </w:pPr>
      <w:r>
        <w:rPr>
          <w:b/>
          <w:bCs/>
          <w:color w:val="1D4ED8"/>
        </w:rPr>
        <w:t xml:space="preserve">•	</w:t>
      </w:r>
      <w:r>
        <w:rPr>
          <w:b w:val="false"/>
          <w:bCs w:val="false"/>
        </w:rPr>
        <w:t xml:space="preserve">La empresa cesante deberá notificar al personal afectado y a la Representación Legal de las Personas Trabajadoras la resolución del contrato de arrendamiento de servicios, así como el nombre de la nueva adjudicataria, dentro de los cinco días siguientes a la fecha en que tenga conocimiento formal y fehaciente de cada una de las circunstancias.</w:t>
      </w:r>
    </w:p>
    <w:p>
      <w:pPr>
        <w:spacing w:after="60"/>
        <w:ind w:left="340" w:hanging="240"/>
      </w:pPr>
      <w:r>
        <w:rPr>
          <w:b/>
          <w:bCs/>
          <w:color w:val="1D4ED8"/>
        </w:rPr>
        <w:t xml:space="preserve">•	</w:t>
      </w:r>
      <w:r>
        <w:rPr>
          <w:b w:val="false"/>
          <w:bCs w:val="false"/>
        </w:rPr>
        <w:t xml:space="preserve">En el plazo máximo de un mes desde que se produzca la subrogación, la cesante deberá facilitar a la nueva empresa adjudicataria copia de los finiquitos firmados por las personas trabajadoras afectadas.</w:t>
      </w:r>
    </w:p>
    <w:p>
      <w:pPr>
        <w:spacing w:after="60"/>
        <w:ind w:left="340" w:hanging="240"/>
      </w:pPr>
      <w:r>
        <w:rPr>
          <w:b/>
          <w:bCs/>
          <w:color w:val="1D4ED8"/>
        </w:rPr>
        <w:t xml:space="preserve">•	</w:t>
      </w:r>
      <w:r>
        <w:rPr>
          <w:b w:val="false"/>
          <w:bCs w:val="false"/>
        </w:rPr>
        <w:t xml:space="preserve">Si la documentación entregada contuviera falsedad o inexactitud manifiesta que hubiera dado lugar a una errónea identificación de las personas trabajadoras a subrogar, la nueva empresa adjudicataria tendrá derecho a revertir la subrogación ya realizada, quedando la empresa cesante obligada a reincorporar a esas personas a su plantilla, con derecho a una compensación indemnizatoria a cargo de la cesante.</w:t>
      </w:r>
    </w:p>
    <w:p>
      <w:pPr>
        <w:spacing w:after="60"/>
        <w:ind w:left="340" w:hanging="240"/>
      </w:pPr>
      <w:r>
        <w:rPr>
          <w:b/>
          <w:bCs/>
          <w:color w:val="1D4ED8"/>
        </w:rPr>
        <w:t xml:space="preserve">•	</w:t>
      </w:r>
      <w:r>
        <w:rPr>
          <w:b w:val="false"/>
          <w:bCs w:val="false"/>
        </w:rPr>
        <w:t xml:space="preserve">La letra k del convenio deja abierto lo que pida la entrante. No está en la cuenta de arriba porque no se puede saber de antemano, pero pregúntaselo antes de cerrar la carpeta.</w:t>
      </w:r>
    </w:p>
    <w:p>
      <w:pPr>
        <w:pBdr>
          <w:left w:val="single" w:color="CBD5E1" w:sz="12" w:space="12"/>
        </w:pBdr>
        <w:spacing w:after="160" w:before="120"/>
        <w:ind w:left="340"/>
      </w:pPr>
      <w:r>
        <w:rPr>
          <w:b w:val="false"/>
          <w:bCs w:val="false"/>
          <w:color w:val="475569"/>
        </w:rPr>
        <w:t xml:space="preserve">Esto es la lista del artículo 17 aplicada a tu plantilla. No comprueba el contenido de cada documento, solo si lo tienes.</w:t>
      </w: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val="false"/>
          <w:bCs w:val="false"/>
        </w:rPr>
        <w:t xml:space="preserve">Una persona está de baja: además de lo común, hay que aportar el parte de baja y el último parte de confirmación (letra h).</w:t>
      </w:r>
    </w:p>
    <w:p>
      <w:pPr>
        <w:spacing w:after="60"/>
        <w:ind w:left="340" w:hanging="240"/>
      </w:pPr>
      <w:r>
        <w:rPr>
          <w:b/>
          <w:bCs/>
          <w:color w:val="1D4ED8"/>
        </w:rPr>
        <w:t xml:space="preserve">•	</w:t>
      </w:r>
      <w:r>
        <w:rPr>
          <w:b w:val="false"/>
          <w:bCs w:val="false"/>
        </w:rPr>
        <w:t xml:space="preserve">Una persona tiene una situación especial: hay que justificarla documentalmente (letra j).</w:t>
      </w:r>
    </w:p>
    <w:p>
      <w:pPr>
        <w:spacing w:after="60"/>
        <w:ind w:left="340" w:hanging="240"/>
      </w:pPr>
      <w:r>
        <w:rPr>
          <w:b/>
          <w:bCs/>
          <w:color w:val="1D4ED8"/>
        </w:rPr>
        <w:t xml:space="preserve">•	</w:t>
      </w:r>
      <w:r>
        <w:rPr>
          <w:b w:val="false"/>
          <w:bCs w:val="false"/>
        </w:rPr>
        <w:t xml:space="preserve">La empresa cesante deberá notificar al personal afectado y a la Representación Legal de las Personas Trabajadoras la resolución del contrato de arrendamiento de servicios, así como el nombre de la nueva adjudicataria, dentro de los cinco días siguientes a la fecha en que tenga conocimiento formal y fehaciente de cada una de las circunstancias.</w:t>
      </w:r>
    </w:p>
    <w:p>
      <w:pPr>
        <w:spacing w:after="60"/>
        <w:ind w:left="340" w:hanging="240"/>
      </w:pPr>
      <w:r>
        <w:rPr>
          <w:b/>
          <w:bCs/>
          <w:color w:val="1D4ED8"/>
        </w:rPr>
        <w:t xml:space="preserve">•	</w:t>
      </w:r>
      <w:r>
        <w:rPr>
          <w:b w:val="false"/>
          <w:bCs w:val="false"/>
        </w:rPr>
        <w:t xml:space="preserve">En el plazo máximo de un mes desde que se produzca la subrogación, la cesante deberá facilitar a la nueva empresa adjudicataria copia de los finiquitos firmados por las personas trabajadoras afectadas.</w:t>
      </w:r>
    </w:p>
    <w:p>
      <w:pPr>
        <w:spacing w:after="60"/>
        <w:ind w:left="340" w:hanging="240"/>
      </w:pPr>
      <w:r>
        <w:rPr>
          <w:b/>
          <w:bCs/>
          <w:color w:val="1D4ED8"/>
        </w:rPr>
        <w:t xml:space="preserve">•	</w:t>
      </w:r>
      <w:r>
        <w:rPr>
          <w:b w:val="false"/>
          <w:bCs w:val="false"/>
        </w:rPr>
        <w:t xml:space="preserve">Si la documentación entregada contuviera falsedad o inexactitud manifiesta que hubiera dado lugar a una errónea identificación de las personas trabajadoras a subrogar, la nueva empresa adjudicataria tendrá derecho a revertir la subrogación ya realizada, quedando la empresa cesante obligada a reincorporar a esas personas a su plantilla, con derecho a una compensación indemnizatoria a cargo de la cesante.</w:t>
      </w:r>
    </w:p>
    <w:p>
      <w:pPr>
        <w:spacing w:after="60"/>
        <w:ind w:left="340" w:hanging="240"/>
      </w:pPr>
      <w:r>
        <w:rPr>
          <w:b/>
          <w:bCs/>
          <w:color w:val="1D4ED8"/>
        </w:rPr>
        <w:t xml:space="preserve">•	</w:t>
      </w:r>
      <w:r>
        <w:rPr>
          <w:b w:val="false"/>
          <w:bCs w:val="false"/>
        </w:rPr>
        <w:t xml:space="preserve">La letra k del convenio deja abierto lo que pida la entrante. No está en la cuenta de arriba porque no se puede saber de antemano, pero pregúntaselo antes de cerrar la carpeta.</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Convenio colectivo estatal de empresas de seguridad 2026-2030, art. 17.1.2</w:t>
      </w:r>
    </w:p>
    <w:p>
      <w:pPr>
        <w:spacing w:after="140"/>
      </w:pPr>
      <w:r>
        <w:rPr>
          <w:b w:val="false"/>
          <w:bCs w:val="false"/>
        </w:rPr>
        <w:t xml:space="preserve">Deberá poner a disposición de la nueva adjudicataria, con antelación mínima de cinco días hábiles a que ésta dé comienzo a la prestación del servicio, la documentación que se relaciona.</w:t>
      </w:r>
    </w:p>
    <w:p>
      <w:pPr>
        <w:spacing w:after="140"/>
      </w:pPr>
      <w:r>
        <w:rPr>
          <w:b w:val="false"/>
          <w:bCs w:val="false"/>
        </w:rPr>
        <w:t xml:space="preserve">https://www.boe.es/diario_boe/txt.php?id=BOE-A-2026-8569</w:t>
      </w:r>
    </w:p>
    <w:p>
      <w:pPr>
        <w:spacing w:after="140"/>
      </w:pPr>
      <w:r>
        <w:rPr>
          <w:b/>
          <w:bCs/>
        </w:rPr>
        <w:t xml:space="preserve">Convenio colectivo estatal de empresas de seguridad 2026-2030, art. 17.1.1</w:t>
      </w:r>
    </w:p>
    <w:p>
      <w:pPr>
        <w:spacing w:after="140"/>
      </w:pPr>
      <w:r>
        <w:rPr>
          <w:b w:val="false"/>
          <w:bCs w:val="false"/>
        </w:rPr>
        <w:t xml:space="preserve">La empresa cesante deberá notificar al personal afectado y a la Representación Legal de las Personas Trabajadoras la resolución del contrato de arrendamiento de servicios, así como el nombre de la nueva adjudicataria, dentro de los cinco días siguientes a la fecha en que tenga conocimiento formal y fehaciente de cada una de las circunstancias.</w:t>
      </w:r>
    </w:p>
    <w:p>
      <w:pPr>
        <w:spacing w:after="140"/>
      </w:pPr>
      <w:r>
        <w:rPr>
          <w:b w:val="false"/>
          <w:bCs w:val="false"/>
        </w:rPr>
        <w:t xml:space="preserve">https://www.boe.es/diario_boe/txt.php?id=BOE-A-2026-8569</w:t>
      </w:r>
    </w:p>
    <w:p>
      <w:pPr>
        <w:spacing w:after="140"/>
      </w:pPr>
      <w:r>
        <w:rPr>
          <w:b/>
          <w:bCs/>
        </w:rPr>
        <w:t xml:space="preserve">Convenio colectivo estatal de empresas de seguridad 2026-2030, art. 17.1.6</w:t>
      </w:r>
    </w:p>
    <w:p>
      <w:pPr>
        <w:spacing w:after="140"/>
      </w:pPr>
      <w:r>
        <w:rPr>
          <w:b w:val="false"/>
          <w:bCs w:val="false"/>
        </w:rPr>
        <w:t xml:space="preserve">Si la documentación entregada contuviera falsedad o inexactitud manifiesta que hubiera dado lugar a una errónea identificación de las personas trabajadoras a subrogar, la nueva empresa adjudicataria tendrá derecho a revertir la subrogación ya realizada, quedando la empresa cesante obligada a reincorporar a esas personas a su plantilla, con derecho a una compensación indemnizatoria a cargo de la cesante.</w:t>
      </w:r>
    </w:p>
    <w:p>
      <w:pPr>
        <w:spacing w:after="140"/>
      </w:pPr>
      <w:r>
        <w:rPr>
          <w:b w:val="false"/>
          <w:bCs w:val="false"/>
        </w:rPr>
        <w:t xml:space="preserve">https://www.boe.es/diario_boe/txt.php?id=BOE-A-2026-8569</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Subrogación de seis vigilantes de un servicio hospitalario</dc:title>
  <dc:creator>tramitaIA</dc:creator>
  <cp:lastModifiedBy>Un-named</cp:lastModifiedBy>
  <cp:revision>1</cp:revision>
  <dcterms:created xsi:type="dcterms:W3CDTF">2026-09-07T16:57:25.345Z</dcterms:created>
  <dcterms:modified xsi:type="dcterms:W3CDTF">2026-09-07T16:57:25.345Z</dcterms:modified>
</cp:coreProperties>
</file>

<file path=docProps/custom.xml><?xml version="1.0" encoding="utf-8"?>
<Properties xmlns="http://schemas.openxmlformats.org/officeDocument/2006/custom-properties" xmlns:vt="http://schemas.openxmlformats.org/officeDocument/2006/docPropsVTypes"/>
</file>