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D4ED8"/>
          <w:sz w:val="18"/>
          <w:szCs w:val="18"/>
        </w:rPr>
        <w:t xml:space="preserve">GENERADOR DE MEMORIA DE PROYECTO</w:t>
      </w:r>
    </w:p>
    <w:p>
      <w:pPr>
        <w:pStyle w:val="Title"/>
        <w:spacing w:after="120"/>
      </w:pPr>
      <w:r>
        <w:rPr>
          <w:b/>
          <w:bCs/>
          <w:color w:val="0F172A"/>
          <w:sz w:val="40"/>
          <w:szCs w:val="40"/>
        </w:rPr>
        <w:t xml:space="preserve">Proyecto básico de ocho viviendas en Murcia</w:t>
      </w:r>
    </w:p>
    <w:p>
      <w:pPr>
        <w:pBdr>
          <w:bottom w:val="single" w:color="CBD5E1" w:sz="6" w:space="10"/>
        </w:pBdr>
        <w:spacing w:after="320"/>
      </w:pPr>
      <w:r>
        <w:rPr>
          <w:b w:val="false"/>
          <w:bCs w:val="false"/>
          <w:i/>
          <w:iCs/>
          <w:color w:val="475569"/>
          <w:sz w:val="19"/>
          <w:szCs w:val="19"/>
        </w:rPr>
        <w:t xml:space="preserve">Ejemplo real generado con el mismo motor que sirve a los clientes. El proyecto es inventado. Va en fase de básico a propósito: así se ve que solo salen las seis secciones que el Anejo I marca con asterisco, y que las otras once quedan listadas para el de ejecución. Generado el 3 de septiembre de 2026.</w:t>
      </w:r>
    </w:p>
    <w:p>
      <w:pPr>
        <w:spacing w:after="200"/>
      </w:pPr>
      <w:r>
        <w:rPr>
          <w:b/>
          <w:bCs/>
          <w:color w:val="1D4ED8"/>
          <w:sz w:val="18"/>
          <w:szCs w:val="18"/>
        </w:rPr>
        <w:t xml:space="preserve">MEMORIA — EDIFICIO DE 8 VIVIENDAS, GARAJE Y TRASTEROS</w:t>
      </w:r>
    </w:p>
    <w:p>
      <w:pPr>
        <w:pStyle w:val="Heading1"/>
        <w:spacing w:after="140" w:before="0"/>
      </w:pPr>
      <w:r>
        <w:rPr>
          <w:b w:val="false"/>
          <w:bCs w:val="false"/>
        </w:rPr>
        <w:t xml:space="preserve">Memoria del proyecto básico</w:t>
      </w:r>
    </w:p>
    <w:p>
      <w:pPr>
        <w:pStyle w:val="Heading2"/>
        <w:spacing w:after="140" w:before="320"/>
      </w:pPr>
      <w:r>
        <w:rPr>
          <w:b w:val="false"/>
          <w:bCs w:val="false"/>
        </w:rPr>
        <w:t xml:space="preserve">Edificio de 8 viviendas, garaje y trasteros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
            </w:r>
          </w:p>
        </w:tc>
        <w:tc>
          <w:tcPr>
            <w:shd w:fill="F1F5F9" w:val="clear"/>
            <w:tcMar>
              <w:top w:type="dxa" w:w="80"/>
              <w:left w:type="dxa" w:w="120"/>
              <w:bottom w:type="dxa" w:w="80"/>
              <w:right w:type="dxa" w:w="120"/>
            </w:tcMar>
          </w:tcPr>
          <w:p>
            <w:pPr>
              <w:spacing w:after="0" w:before="0"/>
            </w:pPr>
            <w:r>
              <w:rPr>
                <w:b/>
                <w:bCs/>
                <w:color w:val="0F172A"/>
                <w:sz w:val="19"/>
                <w:szCs w:val="19"/>
              </w:rPr>
              <w:t xml:space="preserve"/>
            </w:r>
          </w:p>
        </w:tc>
      </w:tr>
      <w:tr>
        <w:tc>
          <w:tcPr>
            <w:tcMar>
              <w:top w:type="dxa" w:w="80"/>
              <w:left w:type="dxa" w:w="120"/>
              <w:bottom w:type="dxa" w:w="80"/>
              <w:right w:type="dxa" w:w="120"/>
            </w:tcMar>
          </w:tcPr>
          <w:p>
            <w:pPr>
              <w:spacing w:after="0" w:before="0"/>
            </w:pPr>
            <w:r>
              <w:rPr>
                <w:b w:val="false"/>
                <w:bCs w:val="false"/>
                <w:color w:val="0F172A"/>
                <w:sz w:val="19"/>
                <w:szCs w:val="19"/>
              </w:rPr>
              <w:t xml:space="preserve">Emplazamiento</w:t>
            </w:r>
          </w:p>
        </w:tc>
        <w:tc>
          <w:tcPr>
            <w:tcMar>
              <w:top w:type="dxa" w:w="80"/>
              <w:left w:type="dxa" w:w="120"/>
              <w:bottom w:type="dxa" w:w="80"/>
              <w:right w:type="dxa" w:w="120"/>
            </w:tcMar>
          </w:tcPr>
          <w:p>
            <w:pPr>
              <w:spacing w:after="0" w:before="0"/>
            </w:pPr>
            <w:r>
              <w:rPr>
                <w:b w:val="false"/>
                <w:bCs w:val="false"/>
                <w:color w:val="0F172A"/>
                <w:sz w:val="19"/>
                <w:szCs w:val="19"/>
              </w:rPr>
              <w:t xml:space="preserve">Calle Cartagena 8, esquina con Avenida de Europa, Murcia</w:t>
            </w:r>
          </w:p>
        </w:tc>
      </w:tr>
      <w:tr>
        <w:tc>
          <w:tcPr>
            <w:tcMar>
              <w:top w:type="dxa" w:w="80"/>
              <w:left w:type="dxa" w:w="120"/>
              <w:bottom w:type="dxa" w:w="80"/>
              <w:right w:type="dxa" w:w="120"/>
            </w:tcMar>
          </w:tcPr>
          <w:p>
            <w:pPr>
              <w:spacing w:after="0" w:before="0"/>
            </w:pPr>
            <w:r>
              <w:rPr>
                <w:b w:val="false"/>
                <w:bCs w:val="false"/>
                <w:color w:val="0F172A"/>
                <w:sz w:val="19"/>
                <w:szCs w:val="19"/>
              </w:rPr>
              <w:t xml:space="preserve">Intervención</w:t>
            </w:r>
          </w:p>
        </w:tc>
        <w:tc>
          <w:tcPr>
            <w:tcMar>
              <w:top w:type="dxa" w:w="80"/>
              <w:left w:type="dxa" w:w="120"/>
              <w:bottom w:type="dxa" w:w="80"/>
              <w:right w:type="dxa" w:w="120"/>
            </w:tcMar>
          </w:tcPr>
          <w:p>
            <w:pPr>
              <w:spacing w:after="0" w:before="0"/>
            </w:pPr>
            <w:r>
              <w:rPr>
                <w:b w:val="false"/>
                <w:bCs w:val="false"/>
                <w:color w:val="0F172A"/>
                <w:sz w:val="19"/>
                <w:szCs w:val="19"/>
              </w:rPr>
              <w:t xml:space="preserve">obra nueva</w:t>
            </w:r>
          </w:p>
        </w:tc>
      </w:tr>
      <w:tr>
        <w:tc>
          <w:tcPr>
            <w:tcMar>
              <w:top w:type="dxa" w:w="80"/>
              <w:left w:type="dxa" w:w="120"/>
              <w:bottom w:type="dxa" w:w="80"/>
              <w:right w:type="dxa" w:w="120"/>
            </w:tcMar>
          </w:tcPr>
          <w:p>
            <w:pPr>
              <w:spacing w:after="0" w:before="0"/>
            </w:pPr>
            <w:r>
              <w:rPr>
                <w:b w:val="false"/>
                <w:bCs w:val="false"/>
                <w:color w:val="0F172A"/>
                <w:sz w:val="19"/>
                <w:szCs w:val="19"/>
              </w:rPr>
              <w:t xml:space="preserve">Uso característico</w:t>
            </w:r>
          </w:p>
        </w:tc>
        <w:tc>
          <w:tcPr>
            <w:tcMar>
              <w:top w:type="dxa" w:w="80"/>
              <w:left w:type="dxa" w:w="120"/>
              <w:bottom w:type="dxa" w:w="80"/>
              <w:right w:type="dxa" w:w="120"/>
            </w:tcMar>
          </w:tcPr>
          <w:p>
            <w:pPr>
              <w:spacing w:after="0" w:before="0"/>
            </w:pPr>
            <w:r>
              <w:rPr>
                <w:b w:val="false"/>
                <w:bCs w:val="false"/>
                <w:color w:val="0F172A"/>
                <w:sz w:val="19"/>
                <w:szCs w:val="19"/>
              </w:rPr>
              <w:t xml:space="preserve">Residencial vivienda</w:t>
            </w:r>
          </w:p>
        </w:tc>
      </w:tr>
      <w:tr>
        <w:tc>
          <w:tcPr>
            <w:tcMar>
              <w:top w:type="dxa" w:w="80"/>
              <w:left w:type="dxa" w:w="120"/>
              <w:bottom w:type="dxa" w:w="80"/>
              <w:right w:type="dxa" w:w="120"/>
            </w:tcMar>
          </w:tcPr>
          <w:p>
            <w:pPr>
              <w:spacing w:after="0" w:before="0"/>
            </w:pPr>
            <w:r>
              <w:rPr>
                <w:b w:val="false"/>
                <w:bCs w:val="false"/>
                <w:color w:val="0F172A"/>
                <w:sz w:val="19"/>
                <w:szCs w:val="19"/>
              </w:rPr>
              <w:t xml:space="preserve">Promotor</w:t>
            </w:r>
          </w:p>
        </w:tc>
        <w:tc>
          <w:tcPr>
            <w:tcMar>
              <w:top w:type="dxa" w:w="80"/>
              <w:left w:type="dxa" w:w="120"/>
              <w:bottom w:type="dxa" w:w="80"/>
              <w:right w:type="dxa" w:w="120"/>
            </w:tcMar>
          </w:tcPr>
          <w:p>
            <w:pPr>
              <w:spacing w:after="0" w:before="0"/>
            </w:pPr>
            <w:r>
              <w:rPr>
                <w:b w:val="false"/>
                <w:bCs w:val="false"/>
                <w:color w:val="0F172A"/>
                <w:sz w:val="19"/>
                <w:szCs w:val="19"/>
              </w:rPr>
              <w:t xml:space="preserve">Promociones Aguilar e Hijos S.L., B73999999</w:t>
            </w:r>
          </w:p>
        </w:tc>
      </w:tr>
      <w:tr>
        <w:tc>
          <w:tcPr>
            <w:tcMar>
              <w:top w:type="dxa" w:w="80"/>
              <w:left w:type="dxa" w:w="120"/>
              <w:bottom w:type="dxa" w:w="80"/>
              <w:right w:type="dxa" w:w="120"/>
            </w:tcMar>
          </w:tcPr>
          <w:p>
            <w:pPr>
              <w:spacing w:after="0" w:before="0"/>
            </w:pPr>
            <w:r>
              <w:rPr>
                <w:b w:val="false"/>
                <w:bCs w:val="false"/>
                <w:color w:val="0F172A"/>
                <w:sz w:val="19"/>
                <w:szCs w:val="19"/>
              </w:rPr>
              <w:t xml:space="preserve">Proyectista</w:t>
            </w:r>
          </w:p>
        </w:tc>
        <w:tc>
          <w:tcPr>
            <w:tcMar>
              <w:top w:type="dxa" w:w="80"/>
              <w:left w:type="dxa" w:w="120"/>
              <w:bottom w:type="dxa" w:w="80"/>
              <w:right w:type="dxa" w:w="120"/>
            </w:tcMar>
          </w:tcPr>
          <w:p>
            <w:pPr>
              <w:spacing w:after="0" w:before="0"/>
            </w:pPr>
            <w:r>
              <w:rPr>
                <w:b w:val="false"/>
                <w:bCs w:val="false"/>
                <w:color w:val="0F172A"/>
                <w:sz w:val="19"/>
                <w:szCs w:val="19"/>
              </w:rPr>
              <w:t xml:space="preserve">Ana Vega Soler, arquitecta, colegiada COAMU 3.412</w:t>
            </w:r>
          </w:p>
        </w:tc>
      </w:tr>
      <w:tr>
        <w:tc>
          <w:tcPr>
            <w:tcMar>
              <w:top w:type="dxa" w:w="80"/>
              <w:left w:type="dxa" w:w="120"/>
              <w:bottom w:type="dxa" w:w="80"/>
              <w:right w:type="dxa" w:w="120"/>
            </w:tcMar>
          </w:tcPr>
          <w:p>
            <w:pPr>
              <w:spacing w:after="0" w:before="0"/>
            </w:pPr>
            <w:r>
              <w:rPr>
                <w:b w:val="false"/>
                <w:bCs w:val="false"/>
                <w:color w:val="0F172A"/>
                <w:sz w:val="19"/>
                <w:szCs w:val="19"/>
              </w:rPr>
              <w:t xml:space="preserve">Superficies</w:t>
            </w:r>
          </w:p>
        </w:tc>
        <w:tc>
          <w:tcPr>
            <w:tcMar>
              <w:top w:type="dxa" w:w="80"/>
              <w:left w:type="dxa" w:w="120"/>
              <w:bottom w:type="dxa" w:w="80"/>
              <w:right w:type="dxa" w:w="120"/>
            </w:tcMar>
          </w:tcPr>
          <w:p>
            <w:pPr>
              <w:spacing w:after="0" w:before="0"/>
            </w:pPr>
            <w:r>
              <w:rPr>
                <w:b w:val="false"/>
                <w:bCs w:val="false"/>
                <w:color w:val="0F172A"/>
                <w:sz w:val="19"/>
                <w:szCs w:val="19"/>
              </w:rPr>
              <w:t xml:space="preserve">parcela 420 m² · construida 1.240 m² · útil 968 m² · 5 plantas</w:t>
            </w:r>
          </w:p>
        </w:tc>
      </w:tr>
    </w:tbl>
    <w:p>
      <w:pPr>
        <w:spacing w:after="160"/>
      </w:pPr>
    </w:p>
    <w:p>
      <w:pPr>
        <w:pBdr>
          <w:left w:val="single" w:color="CBD5E1" w:sz="12" w:space="12"/>
        </w:pBdr>
        <w:spacing w:after="160" w:before="120"/>
        <w:ind w:left="340"/>
      </w:pPr>
      <w:r>
        <w:rPr>
          <w:b w:val="false"/>
          <w:bCs w:val="false"/>
          <w:color w:val="475569"/>
        </w:rPr>
        <w:t xml:space="preserve">Estructura conforme al Anejo I, Contenido del proyecto del Real Decreto 314/2006, de 17 de marzo, por el que se aprueba el Código Técnico de la Edificación.</w:t>
      </w:r>
    </w:p>
    <w:p>
      <w:pPr>
        <w:pStyle w:val="Heading3"/>
        <w:spacing w:after="140" w:before="320"/>
      </w:pPr>
      <w:r>
        <w:rPr>
          <w:b w:val="false"/>
          <w:bCs w:val="false"/>
        </w:rPr>
        <w:t xml:space="preserve">1.1 Agentes</w:t>
      </w:r>
    </w:p>
    <w:p>
      <w:pPr>
        <w:spacing w:after="140"/>
      </w:pPr>
      <w:r>
        <w:rPr>
          <w:b/>
          <w:bCs/>
        </w:rPr>
        <w:t xml:space="preserve">Promotor.</w:t>
      </w:r>
      <w:r>
        <w:rPr>
          <w:b w:val="false"/>
          <w:bCs w:val="false"/>
        </w:rPr>
        <w:t xml:space="preserve"> Promociones Aguilar e Hijos S.L., con NIF B73999999. [PENDIENTE: domicilio social y representante legal del promotor a efectos de notificaciones].</w:t>
      </w:r>
    </w:p>
    <w:p>
      <w:pPr>
        <w:spacing w:after="140"/>
      </w:pPr>
      <w:r>
        <w:rPr>
          <w:b/>
          <w:bCs/>
        </w:rPr>
        <w:t xml:space="preserve">Proyectista.</w:t>
      </w:r>
      <w:r>
        <w:rPr>
          <w:b w:val="false"/>
          <w:bCs w:val="false"/>
        </w:rPr>
        <w:t xml:space="preserve"> Ana Vega Soler, arquitecta, colegiada n.º 3.412 del Colegio Oficial de Arquitectos de la Región de Murcia, que redacta el presente proyecto por encargo del promotor. Actúa en el marco del Estudio Vega Arquitectura, NIF B73444444, con domicilio en calle Trapería 14, Murcia.</w:t>
      </w:r>
    </w:p>
    <w:p>
      <w:pPr>
        <w:spacing w:after="140"/>
      </w:pPr>
      <w:r>
        <w:rPr>
          <w:b/>
          <w:bCs/>
        </w:rPr>
        <w:t xml:space="preserve">Otros técnicos intervinientes.</w:t>
      </w:r>
    </w:p>
    <w:p>
      <w:pPr>
        <w:spacing w:after="60"/>
        <w:ind w:left="340" w:hanging="240"/>
      </w:pPr>
      <w:r>
        <w:rPr>
          <w:b/>
          <w:bCs/>
          <w:color w:val="1D4ED8"/>
        </w:rPr>
        <w:t xml:space="preserve">•	</w:t>
      </w:r>
      <w:r>
        <w:rPr>
          <w:b w:val="false"/>
          <w:bCs w:val="false"/>
        </w:rPr>
        <w:t xml:space="preserve">Dirección de la ejecución de la obra: aparejador o arquitecto técnico por designar. [PENDIENTE: identificación y número de colegiado del director de ejecución de la obra].</w:t>
      </w:r>
    </w:p>
    <w:p>
      <w:pPr>
        <w:spacing w:after="60"/>
        <w:ind w:left="340" w:hanging="240"/>
      </w:pPr>
      <w:r>
        <w:rPr>
          <w:b/>
          <w:bCs/>
          <w:color w:val="1D4ED8"/>
        </w:rPr>
        <w:t xml:space="preserve">•	</w:t>
      </w:r>
      <w:r>
        <w:rPr>
          <w:b w:val="false"/>
          <w:bCs w:val="false"/>
        </w:rPr>
        <w:t xml:space="preserve">Estudio geotécnico: Geotecnia del Sureste S.L., informe de mayo de 2026. [PENDIENTE: identificación del técnico redactor del estudio geotécnico y referencia del informe].</w:t>
      </w:r>
    </w:p>
    <w:p>
      <w:pPr>
        <w:spacing w:after="60"/>
        <w:ind w:left="340" w:hanging="240"/>
      </w:pPr>
      <w:r>
        <w:rPr>
          <w:b/>
          <w:bCs/>
          <w:color w:val="1D4ED8"/>
        </w:rPr>
        <w:t xml:space="preserve">•	</w:t>
      </w:r>
      <w:r>
        <w:rPr>
          <w:b w:val="false"/>
          <w:bCs w:val="false"/>
        </w:rPr>
        <w:t xml:space="preserve">Coordinador en materia de seguridad y salud: [PENDIENTE: designación por el promotor].</w:t>
      </w:r>
    </w:p>
    <w:p>
      <w:pPr>
        <w:spacing w:after="60"/>
        <w:ind w:left="340" w:hanging="240"/>
      </w:pPr>
      <w:r>
        <w:rPr>
          <w:b/>
          <w:bCs/>
          <w:color w:val="1D4ED8"/>
        </w:rPr>
        <w:t xml:space="preserve">•	</w:t>
      </w:r>
      <w:r>
        <w:rPr>
          <w:b w:val="false"/>
          <w:bCs w:val="false"/>
        </w:rPr>
        <w:t xml:space="preserve">Entidad de control de calidad, en su caso: [PENDIENTE].</w:t>
      </w:r>
    </w:p>
    <w:p>
      <w:pPr>
        <w:spacing w:after="60"/>
        <w:ind w:left="340" w:hanging="240"/>
      </w:pPr>
      <w:r>
        <w:rPr>
          <w:b/>
          <w:bCs/>
          <w:color w:val="1D4ED8"/>
        </w:rPr>
        <w:t xml:space="preserve">•	</w:t>
      </w:r>
      <w:r>
        <w:rPr>
          <w:b w:val="false"/>
          <w:bCs w:val="false"/>
        </w:rPr>
        <w:t xml:space="preserve">Constructor: [PENDIENTE: no procede en fase de proyecto básico].</w:t>
      </w:r>
    </w:p>
    <w:p>
      <w:pPr>
        <w:spacing w:after="140"/>
      </w:pPr>
      <w:r>
        <w:rPr>
          <w:b w:val="false"/>
          <w:bCs w:val="false"/>
        </w:rPr>
        <w:t xml:space="preserve">Se advierte de que el presente documento corresponde a la fase de </w:t>
      </w:r>
      <w:r>
        <w:rPr>
          <w:b/>
          <w:bCs/>
        </w:rPr>
        <w:t xml:space="preserve">proyecto básico</w:t>
      </w:r>
      <w:r>
        <w:rPr>
          <w:b w:val="false"/>
          <w:bCs w:val="false"/>
        </w:rPr>
        <w:t xml:space="preserve">, por lo que no incorpora la definición ni la justificación técnica exigibles al proyecto de ejecución.</w:t>
      </w:r>
    </w:p>
    <w:p>
      <w:pPr>
        <w:pStyle w:val="Heading3"/>
        <w:spacing w:after="140" w:before="320"/>
      </w:pPr>
      <w:r>
        <w:rPr>
          <w:b w:val="false"/>
          <w:bCs w:val="false"/>
        </w:rPr>
        <w:t xml:space="preserve">1.2 Información previa</w:t>
      </w:r>
    </w:p>
    <w:p>
      <w:pPr>
        <w:spacing w:after="140"/>
      </w:pPr>
      <w:r>
        <w:rPr>
          <w:b/>
          <w:bCs/>
        </w:rPr>
        <w:t xml:space="preserve">Antecedentes y objeto.</w:t>
      </w:r>
      <w:r>
        <w:rPr>
          <w:b w:val="false"/>
          <w:bCs w:val="false"/>
        </w:rPr>
        <w:t xml:space="preserve"> Se redacta el proyecto básico de un edificio de nueva planta destinado a ocho viviendas, garaje y trasteros, por encargo de Promociones Aguilar e Hijos S.L. La actuación es de obra nueva, por lo que no existen datos de edificación preexistente que consignar.</w:t>
      </w:r>
    </w:p>
    <w:p>
      <w:pPr>
        <w:spacing w:after="140"/>
      </w:pPr>
      <w:r>
        <w:rPr>
          <w:b/>
          <w:bCs/>
        </w:rPr>
        <w:t xml:space="preserve">Emplazamiento.</w:t>
      </w:r>
      <w:r>
        <w:rPr>
          <w:b w:val="false"/>
          <w:bCs w:val="false"/>
        </w:rPr>
        <w:t xml:space="preserve"> Calle Cartagena 8, esquina con Avenida de Europa, en el término municipal de Murcia. Se trata de un solar en esquina, con dos frentes a vía pública. Superficie de parcela: 420 m². [PENDIENTE: referencia catastral, linderos, dimensiones y cotas del solar según levantamiento topográfico].</w:t>
      </w:r>
    </w:p>
    <w:p>
      <w:pPr>
        <w:spacing w:after="140"/>
      </w:pPr>
      <w:r>
        <w:rPr>
          <w:b/>
          <w:bCs/>
        </w:rPr>
        <w:t xml:space="preserve">Entorno físico y condicionantes de partida.</w:t>
      </w:r>
      <w:r>
        <w:rPr>
          <w:b w:val="false"/>
          <w:bCs w:val="false"/>
        </w:rPr>
        <w:t xml:space="preserve"> La parcela cuenta con una medianera vista en su lindero norte, cuyo tratamiento constituye un condicionante expreso del encargo y se resuelve en el proyecto conforme a lo indicado en el apartado 1.3. [PENDIENTE: descripción del entorno construido, alturas de las edificaciones colindantes y estado de la medianera]. [PENDIENTE: servicios urbanos existentes y puntos de conexión —abastecimiento, saneamiento, energía eléctrica, telecomunicaciones—]. [PENDIENTE: servidumbres y afecciones que graven la parcela].</w:t>
      </w:r>
    </w:p>
    <w:p>
      <w:pPr>
        <w:spacing w:after="140"/>
      </w:pPr>
      <w:r>
        <w:rPr>
          <w:b/>
          <w:bCs/>
        </w:rPr>
        <w:t xml:space="preserve">Normativa urbanística de aplicación.</w:t>
      </w:r>
      <w:r>
        <w:rPr>
          <w:b w:val="false"/>
          <w:bCs w:val="false"/>
        </w:rPr>
        <w:t xml:space="preserve"> Plan General de Ordenación Urbana de Murcia. La parcela se clasifica como suelo urbano consolidado y le resulta de aplicación la ordenanza R-2, de edificación en manzana cerrada, con los siguientes parámetros: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Parámetro</w:t>
            </w:r>
          </w:p>
        </w:tc>
        <w:tc>
          <w:tcPr>
            <w:shd w:fill="F1F5F9" w:val="clear"/>
            <w:tcMar>
              <w:top w:type="dxa" w:w="80"/>
              <w:left w:type="dxa" w:w="120"/>
              <w:bottom w:type="dxa" w:w="80"/>
              <w:right w:type="dxa" w:w="120"/>
            </w:tcMar>
          </w:tcPr>
          <w:p>
            <w:pPr>
              <w:spacing w:after="0" w:before="0"/>
            </w:pPr>
            <w:r>
              <w:rPr>
                <w:b/>
                <w:bCs/>
                <w:color w:val="0F172A"/>
                <w:sz w:val="19"/>
                <w:szCs w:val="19"/>
              </w:rPr>
              <w:t xml:space="preserve">Ordenanza R-2</w:t>
            </w:r>
          </w:p>
        </w:tc>
      </w:tr>
      <w:tr>
        <w:tc>
          <w:tcPr>
            <w:tcMar>
              <w:top w:type="dxa" w:w="80"/>
              <w:left w:type="dxa" w:w="120"/>
              <w:bottom w:type="dxa" w:w="80"/>
              <w:right w:type="dxa" w:w="120"/>
            </w:tcMar>
          </w:tcPr>
          <w:p>
            <w:pPr>
              <w:spacing w:after="0" w:before="0"/>
            </w:pPr>
            <w:r>
              <w:rPr>
                <w:b w:val="false"/>
                <w:bCs w:val="false"/>
                <w:color w:val="0F172A"/>
                <w:sz w:val="19"/>
                <w:szCs w:val="19"/>
              </w:rPr>
              <w:t xml:space="preserve">Edificabilidad</w:t>
            </w:r>
          </w:p>
        </w:tc>
        <w:tc>
          <w:tcPr>
            <w:tcMar>
              <w:top w:type="dxa" w:w="80"/>
              <w:left w:type="dxa" w:w="120"/>
              <w:bottom w:type="dxa" w:w="80"/>
              <w:right w:type="dxa" w:w="120"/>
            </w:tcMar>
          </w:tcPr>
          <w:p>
            <w:pPr>
              <w:spacing w:after="0" w:before="0"/>
            </w:pPr>
            <w:r>
              <w:rPr>
                <w:b w:val="false"/>
                <w:bCs w:val="false"/>
                <w:color w:val="0F172A"/>
                <w:sz w:val="19"/>
                <w:szCs w:val="19"/>
              </w:rPr>
              <w:t xml:space="preserve">2,4 m²/m²</w:t>
            </w:r>
          </w:p>
        </w:tc>
      </w:tr>
      <w:tr>
        <w:tc>
          <w:tcPr>
            <w:tcMar>
              <w:top w:type="dxa" w:w="80"/>
              <w:left w:type="dxa" w:w="120"/>
              <w:bottom w:type="dxa" w:w="80"/>
              <w:right w:type="dxa" w:w="120"/>
            </w:tcMar>
          </w:tcPr>
          <w:p>
            <w:pPr>
              <w:spacing w:after="0" w:before="0"/>
            </w:pPr>
            <w:r>
              <w:rPr>
                <w:b w:val="false"/>
                <w:bCs w:val="false"/>
                <w:color w:val="0F172A"/>
                <w:sz w:val="19"/>
                <w:szCs w:val="19"/>
              </w:rPr>
              <w:t xml:space="preserve">Ocupación máxima</w:t>
            </w:r>
          </w:p>
        </w:tc>
        <w:tc>
          <w:tcPr>
            <w:tcMar>
              <w:top w:type="dxa" w:w="80"/>
              <w:left w:type="dxa" w:w="120"/>
              <w:bottom w:type="dxa" w:w="80"/>
              <w:right w:type="dxa" w:w="120"/>
            </w:tcMar>
          </w:tcPr>
          <w:p>
            <w:pPr>
              <w:spacing w:after="0" w:before="0"/>
            </w:pPr>
            <w:r>
              <w:rPr>
                <w:b w:val="false"/>
                <w:bCs w:val="false"/>
                <w:color w:val="0F172A"/>
                <w:sz w:val="19"/>
                <w:szCs w:val="19"/>
              </w:rPr>
              <w:t xml:space="preserve">70 %</w:t>
            </w:r>
          </w:p>
        </w:tc>
      </w:tr>
      <w:tr>
        <w:tc>
          <w:tcPr>
            <w:tcMar>
              <w:top w:type="dxa" w:w="80"/>
              <w:left w:type="dxa" w:w="120"/>
              <w:bottom w:type="dxa" w:w="80"/>
              <w:right w:type="dxa" w:w="120"/>
            </w:tcMar>
          </w:tcPr>
          <w:p>
            <w:pPr>
              <w:spacing w:after="0" w:before="0"/>
            </w:pPr>
            <w:r>
              <w:rPr>
                <w:b w:val="false"/>
                <w:bCs w:val="false"/>
                <w:color w:val="0F172A"/>
                <w:sz w:val="19"/>
                <w:szCs w:val="19"/>
              </w:rPr>
              <w:t xml:space="preserve">Altura máxima</w:t>
            </w:r>
          </w:p>
        </w:tc>
        <w:tc>
          <w:tcPr>
            <w:tcMar>
              <w:top w:type="dxa" w:w="80"/>
              <w:left w:type="dxa" w:w="120"/>
              <w:bottom w:type="dxa" w:w="80"/>
              <w:right w:type="dxa" w:w="120"/>
            </w:tcMar>
          </w:tcPr>
          <w:p>
            <w:pPr>
              <w:spacing w:after="0" w:before="0"/>
            </w:pPr>
            <w:r>
              <w:rPr>
                <w:b w:val="false"/>
                <w:bCs w:val="false"/>
                <w:color w:val="0F172A"/>
                <w:sz w:val="19"/>
                <w:szCs w:val="19"/>
              </w:rPr>
              <w:t xml:space="preserve">4 plantas más ático retranqueado</w:t>
            </w:r>
          </w:p>
        </w:tc>
      </w:tr>
    </w:tbl>
    <w:p>
      <w:pPr>
        <w:spacing w:after="160"/>
      </w:pPr>
    </w:p>
    <w:p>
      <w:pPr>
        <w:spacing w:after="140"/>
      </w:pPr>
      <w:r>
        <w:rPr>
          <w:b w:val="false"/>
          <w:bCs w:val="false"/>
        </w:rPr>
        <w:t xml:space="preserve">[PENDIENTE: cuadro comparativo entre parámetros exigidos y parámetros del proyecto —edificabilidad consumida, ocupación en planta y altura de cornisa—, que requiere el cálculo correspondiente y la medición de superficies por planta]. [PENDIENTE: alineaciones, retranqueos, fondo edificable y condiciones estéticas exigidos por la ordenanza R-2].</w:t>
      </w:r>
    </w:p>
    <w:p>
      <w:pPr>
        <w:spacing w:after="140"/>
      </w:pPr>
      <w:r>
        <w:rPr>
          <w:b/>
          <w:bCs/>
        </w:rPr>
        <w:t xml:space="preserve">Otras normativas de aplicación.</w:t>
      </w:r>
      <w:r>
        <w:rPr>
          <w:b w:val="false"/>
          <w:bCs w:val="false"/>
        </w:rPr>
        <w:t xml:space="preserve"> Además del Código Técnico de la Edificación, resultan de aplicación la Ordenanza municipal de accesibilidad del Ayuntamiento de Murcia y el Decreto 39/1987 de la Región de Murcia, sobre supresión de barreras arquitectónicas. [PENDIENTE: verificación de la vigencia y de las eventuales modificaciones del Decreto 39/1987 en la fecha de visado]. [PENDIENTE: relación del resto de normativa sectorial aplicable —reglamentación de instalaciones, residuos, habitabilidad autonómica—].</w:t>
      </w:r>
    </w:p>
    <w:p>
      <w:pPr>
        <w:spacing w:after="140"/>
      </w:pPr>
      <w:r>
        <w:rPr>
          <w:b/>
          <w:bCs/>
        </w:rPr>
        <w:t xml:space="preserve">Informes realizados.</w:t>
      </w:r>
      <w:r>
        <w:rPr>
          <w:b w:val="false"/>
          <w:bCs w:val="false"/>
        </w:rPr>
        <w:t xml:space="preserve"> Estudio geotécnico redactado por Geotecnia del Sureste S.L. en mayo de 2026, cuyos resultados se recogen en el apartado 2.1. No consta la realización de otros informes previos. [PENDIENTE: informe de la compañía suministradora sobre condiciones de acometida, en su caso].</w:t>
      </w:r>
    </w:p>
    <w:p>
      <w:pPr>
        <w:pStyle w:val="Heading3"/>
        <w:spacing w:after="140" w:before="320"/>
      </w:pPr>
      <w:r>
        <w:rPr>
          <w:b w:val="false"/>
          <w:bCs w:val="false"/>
        </w:rPr>
        <w:t xml:space="preserve">1.3 Descripción del proyecto</w:t>
      </w:r>
    </w:p>
    <w:p>
      <w:pPr>
        <w:spacing w:after="140"/>
      </w:pPr>
      <w:r>
        <w:rPr>
          <w:b/>
          <w:bCs/>
        </w:rPr>
        <w:t xml:space="preserve">Descripción general.</w:t>
      </w:r>
      <w:r>
        <w:rPr>
          <w:b w:val="false"/>
          <w:bCs w:val="false"/>
        </w:rPr>
        <w:t xml:space="preserve"> El edificio se destina a uso característico </w:t>
      </w:r>
      <w:r>
        <w:rPr>
          <w:b/>
          <w:bCs/>
        </w:rPr>
        <w:t xml:space="preserve">residencial vivienda</w:t>
      </w:r>
      <w:r>
        <w:rPr>
          <w:b w:val="false"/>
          <w:bCs w:val="false"/>
        </w:rPr>
        <w:t xml:space="preserve">, con uso subsidiario de aparcamiento en planta sótano. Se desarrolla en cinco plantas, con garaje y trasteros bajo rasante. [PENDIENTE: distribución expresa del programa por plantas y cota de cada una].</w:t>
      </w:r>
    </w:p>
    <w:p>
      <w:pPr>
        <w:spacing w:after="140"/>
      </w:pPr>
      <w:r>
        <w:rPr>
          <w:b/>
          <w:bCs/>
        </w:rPr>
        <w:t xml:space="preserve">Programa de necesidades.</w:t>
      </w:r>
      <w:r>
        <w:rPr>
          <w:b w:val="false"/>
          <w:bCs w:val="false"/>
        </w:rPr>
        <w:t xml:space="preserve"> El programa establecido por el promotor comprende:</w:t>
      </w:r>
    </w:p>
    <w:p>
      <w:pPr>
        <w:spacing w:after="60"/>
        <w:ind w:left="340" w:hanging="240"/>
      </w:pPr>
      <w:r>
        <w:rPr>
          <w:b/>
          <w:bCs/>
          <w:color w:val="1D4ED8"/>
        </w:rPr>
        <w:t xml:space="preserve">•	</w:t>
      </w:r>
      <w:r>
        <w:rPr>
          <w:b w:val="false"/>
          <w:bCs w:val="false"/>
        </w:rPr>
        <w:t xml:space="preserve">Ocho viviendas: cuatro de dos dormitorios y cuatro de tres dormitorios.</w:t>
      </w:r>
    </w:p>
    <w:p>
      <w:pPr>
        <w:spacing w:after="60"/>
        <w:ind w:left="340" w:hanging="240"/>
      </w:pPr>
      <w:r>
        <w:rPr>
          <w:b/>
          <w:bCs/>
          <w:color w:val="1D4ED8"/>
        </w:rPr>
        <w:t xml:space="preserve">•	</w:t>
      </w:r>
      <w:r>
        <w:rPr>
          <w:b w:val="false"/>
          <w:bCs w:val="false"/>
        </w:rPr>
        <w:t xml:space="preserve">Garaje en planta sótano con ocho plazas de aparcamiento.</w:t>
      </w:r>
    </w:p>
    <w:p>
      <w:pPr>
        <w:spacing w:after="60"/>
        <w:ind w:left="340" w:hanging="240"/>
      </w:pPr>
      <w:r>
        <w:rPr>
          <w:b/>
          <w:bCs/>
          <w:color w:val="1D4ED8"/>
        </w:rPr>
        <w:t xml:space="preserve">•	</w:t>
      </w:r>
      <w:r>
        <w:rPr>
          <w:b w:val="false"/>
          <w:bCs w:val="false"/>
        </w:rPr>
        <w:t xml:space="preserve">Ocho trasteros.</w:t>
      </w:r>
    </w:p>
    <w:p>
      <w:pPr>
        <w:spacing w:after="60"/>
        <w:ind w:left="340" w:hanging="240"/>
      </w:pPr>
      <w:r>
        <w:rPr>
          <w:b/>
          <w:bCs/>
          <w:color w:val="1D4ED8"/>
        </w:rPr>
        <w:t xml:space="preserve">•	</w:t>
      </w:r>
      <w:r>
        <w:rPr>
          <w:b w:val="false"/>
          <w:bCs w:val="false"/>
        </w:rPr>
        <w:t xml:space="preserve">Portal accesible desde la calle Cartagena, con itinerario practicable hasta el ascensor.</w:t>
      </w:r>
    </w:p>
    <w:p>
      <w:pPr>
        <w:spacing w:after="140"/>
      </w:pPr>
      <w:r>
        <w:rPr>
          <w:b/>
          <w:bCs/>
        </w:rPr>
        <w:t xml:space="preserve">Relación con el entorno.</w:t>
      </w:r>
      <w:r>
        <w:rPr>
          <w:b w:val="false"/>
          <w:bCs w:val="false"/>
        </w:rPr>
        <w:t xml:space="preserve"> El edificio ocupa una parcela en esquina y se ordena con arreglo a la tipología de manzana cerrada propia de la ordenanza R-2, con frentes a la calle Cartagena y a la Avenida de Europa. La medianera vista del lindero norte recibe tratamiento como parte del proyecto. [PENDIENTE: definición de la solución constructiva y del acabado previsto para el tratamiento de la medianera].</w:t>
      </w:r>
    </w:p>
    <w:p>
      <w:pPr>
        <w:spacing w:after="140"/>
      </w:pPr>
      <w:r>
        <w:rPr>
          <w:b/>
          <w:bCs/>
        </w:rPr>
        <w:t xml:space="preserve">Cumplimiento del CTE y otras normativas.</w:t>
      </w:r>
      <w:r>
        <w:rPr>
          <w:b w:val="false"/>
          <w:bCs w:val="false"/>
        </w:rPr>
        <w:t xml:space="preserve"> El proyecto se redacta atendiendo a las exigencias básicas del Código Técnico de la Edificación (DB-SE, DB-SI, DB-SUA, DB-HS, DB-HR y DB-HE), a la Ordenanza municipal de accesibilidad, al Decreto 39/1987 de la Región de Murcia y a las condiciones de la ordenanza R-2 del PGOU de Murcia. La justificación documental de cada exigencia básica se desarrollará en la memoria correspondiente. Al tratarse de un proyecto básico y no disponerse todavía del cálculo estructural ni del cálculo de demanda energética, no se acredita en este documento el cumplimiento de las exigencias que dependen de dichos cálculos. [PENDIENTE: justificación completa del cumplimiento del CTE por documentos básicos]. [PENDIENTE: justificación del cumplimiento de las normas de disciplina urbanística y ordenanzas municipales, incluida la edificabilidad consumida].</w:t>
      </w:r>
    </w:p>
    <w:p>
      <w:pPr>
        <w:spacing w:after="140"/>
      </w:pPr>
      <w:r>
        <w:rPr>
          <w:b/>
          <w:bCs/>
        </w:rPr>
        <w:t xml:space="preserve">Geometría, volumen y superficies.</w:t>
      </w:r>
      <w:r>
        <w:rPr>
          <w:b w:val="false"/>
          <w:bCs w:val="false"/>
        </w:rPr>
        <w:t xml:space="preserve"> Los datos de superficie disponibles son los siguientes: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val="clear"/>
            <w:tcMar>
              <w:top w:type="dxa" w:w="80"/>
              <w:left w:type="dxa" w:w="120"/>
              <w:bottom w:type="dxa" w:w="80"/>
              <w:right w:type="dxa" w:w="120"/>
            </w:tcMar>
          </w:tcPr>
          <w:p>
            <w:pPr>
              <w:spacing w:after="0" w:before="0"/>
            </w:pPr>
            <w:r>
              <w:rPr>
                <w:b/>
                <w:bCs/>
                <w:color w:val="0F172A"/>
                <w:sz w:val="19"/>
                <w:szCs w:val="19"/>
              </w:rPr>
              <w:t xml:space="preserve">Concepto</w:t>
            </w:r>
          </w:p>
        </w:tc>
        <w:tc>
          <w:tcPr>
            <w:shd w:fill="F1F5F9" w:val="clear"/>
            <w:tcMar>
              <w:top w:type="dxa" w:w="80"/>
              <w:left w:type="dxa" w:w="120"/>
              <w:bottom w:type="dxa" w:w="80"/>
              <w:right w:type="dxa" w:w="120"/>
            </w:tcMar>
          </w:tcPr>
          <w:p>
            <w:pPr>
              <w:spacing w:after="0" w:before="0"/>
            </w:pPr>
            <w:r>
              <w:rPr>
                <w:b/>
                <w:bCs/>
                <w:color w:val="0F172A"/>
                <w:sz w:val="19"/>
                <w:szCs w:val="19"/>
              </w:rPr>
              <w:t xml:space="preserve">Superficie</w:t>
            </w:r>
          </w:p>
        </w:tc>
      </w:tr>
      <w:tr>
        <w:tc>
          <w:tcPr>
            <w:tcMar>
              <w:top w:type="dxa" w:w="80"/>
              <w:left w:type="dxa" w:w="120"/>
              <w:bottom w:type="dxa" w:w="80"/>
              <w:right w:type="dxa" w:w="120"/>
            </w:tcMar>
          </w:tcPr>
          <w:p>
            <w:pPr>
              <w:spacing w:after="0" w:before="0"/>
            </w:pPr>
            <w:r>
              <w:rPr>
                <w:b w:val="false"/>
                <w:bCs w:val="false"/>
                <w:color w:val="0F172A"/>
                <w:sz w:val="19"/>
                <w:szCs w:val="19"/>
              </w:rPr>
              <w:t xml:space="preserve">Parcela</w:t>
            </w:r>
          </w:p>
        </w:tc>
        <w:tc>
          <w:tcPr>
            <w:tcMar>
              <w:top w:type="dxa" w:w="80"/>
              <w:left w:type="dxa" w:w="120"/>
              <w:bottom w:type="dxa" w:w="80"/>
              <w:right w:type="dxa" w:w="120"/>
            </w:tcMar>
          </w:tcPr>
          <w:p>
            <w:pPr>
              <w:spacing w:after="0" w:before="0"/>
            </w:pPr>
            <w:r>
              <w:rPr>
                <w:b w:val="false"/>
                <w:bCs w:val="false"/>
                <w:color w:val="0F172A"/>
                <w:sz w:val="19"/>
                <w:szCs w:val="19"/>
              </w:rPr>
              <w:t xml:space="preserve">420 m²</w:t>
            </w:r>
          </w:p>
        </w:tc>
      </w:tr>
      <w:tr>
        <w:tc>
          <w:tcPr>
            <w:tcMar>
              <w:top w:type="dxa" w:w="80"/>
              <w:left w:type="dxa" w:w="120"/>
              <w:bottom w:type="dxa" w:w="80"/>
              <w:right w:type="dxa" w:w="120"/>
            </w:tcMar>
          </w:tcPr>
          <w:p>
            <w:pPr>
              <w:spacing w:after="0" w:before="0"/>
            </w:pPr>
            <w:r>
              <w:rPr>
                <w:b w:val="false"/>
                <w:bCs w:val="false"/>
                <w:color w:val="0F172A"/>
                <w:sz w:val="19"/>
                <w:szCs w:val="19"/>
              </w:rPr>
              <w:t xml:space="preserve">Superficie construida total</w:t>
            </w:r>
          </w:p>
        </w:tc>
        <w:tc>
          <w:tcPr>
            <w:tcMar>
              <w:top w:type="dxa" w:w="80"/>
              <w:left w:type="dxa" w:w="120"/>
              <w:bottom w:type="dxa" w:w="80"/>
              <w:right w:type="dxa" w:w="120"/>
            </w:tcMar>
          </w:tcPr>
          <w:p>
            <w:pPr>
              <w:spacing w:after="0" w:before="0"/>
            </w:pPr>
            <w:r>
              <w:rPr>
                <w:b w:val="false"/>
                <w:bCs w:val="false"/>
                <w:color w:val="0F172A"/>
                <w:sz w:val="19"/>
                <w:szCs w:val="19"/>
              </w:rPr>
              <w:t xml:space="preserve">1.240 m²</w:t>
            </w:r>
          </w:p>
        </w:tc>
      </w:tr>
      <w:tr>
        <w:tc>
          <w:tcPr>
            <w:tcMar>
              <w:top w:type="dxa" w:w="80"/>
              <w:left w:type="dxa" w:w="120"/>
              <w:bottom w:type="dxa" w:w="80"/>
              <w:right w:type="dxa" w:w="120"/>
            </w:tcMar>
          </w:tcPr>
          <w:p>
            <w:pPr>
              <w:spacing w:after="0" w:before="0"/>
            </w:pPr>
            <w:r>
              <w:rPr>
                <w:b w:val="false"/>
                <w:bCs w:val="false"/>
                <w:color w:val="0F172A"/>
                <w:sz w:val="19"/>
                <w:szCs w:val="19"/>
              </w:rPr>
              <w:t xml:space="preserve">Superficie útil total</w:t>
            </w:r>
          </w:p>
        </w:tc>
        <w:tc>
          <w:tcPr>
            <w:tcMar>
              <w:top w:type="dxa" w:w="80"/>
              <w:left w:type="dxa" w:w="120"/>
              <w:bottom w:type="dxa" w:w="80"/>
              <w:right w:type="dxa" w:w="120"/>
            </w:tcMar>
          </w:tcPr>
          <w:p>
            <w:pPr>
              <w:spacing w:after="0" w:before="0"/>
            </w:pPr>
            <w:r>
              <w:rPr>
                <w:b w:val="false"/>
                <w:bCs w:val="false"/>
                <w:color w:val="0F172A"/>
                <w:sz w:val="19"/>
                <w:szCs w:val="19"/>
              </w:rPr>
              <w:t xml:space="preserve">968 m²</w:t>
            </w:r>
          </w:p>
        </w:tc>
      </w:tr>
      <w:tr>
        <w:tc>
          <w:tcPr>
            <w:tcMar>
              <w:top w:type="dxa" w:w="80"/>
              <w:left w:type="dxa" w:w="120"/>
              <w:bottom w:type="dxa" w:w="80"/>
              <w:right w:type="dxa" w:w="120"/>
            </w:tcMar>
          </w:tcPr>
          <w:p>
            <w:pPr>
              <w:spacing w:after="0" w:before="0"/>
            </w:pPr>
            <w:r>
              <w:rPr>
                <w:b w:val="false"/>
                <w:bCs w:val="false"/>
                <w:color w:val="0F172A"/>
                <w:sz w:val="19"/>
                <w:szCs w:val="19"/>
              </w:rPr>
              <w:t xml:space="preserve">Número de plantas</w:t>
            </w:r>
          </w:p>
        </w:tc>
        <w:tc>
          <w:tcPr>
            <w:tcMar>
              <w:top w:type="dxa" w:w="80"/>
              <w:left w:type="dxa" w:w="120"/>
              <w:bottom w:type="dxa" w:w="80"/>
              <w:right w:type="dxa" w:w="120"/>
            </w:tcMar>
          </w:tcPr>
          <w:p>
            <w:pPr>
              <w:spacing w:after="0" w:before="0"/>
            </w:pPr>
            <w:r>
              <w:rPr>
                <w:b w:val="false"/>
                <w:bCs w:val="false"/>
                <w:color w:val="0F172A"/>
                <w:sz w:val="19"/>
                <w:szCs w:val="19"/>
              </w:rPr>
              <w:t xml:space="preserve">5</w:t>
            </w:r>
          </w:p>
        </w:tc>
      </w:tr>
    </w:tbl>
    <w:p>
      <w:pPr>
        <w:spacing w:after="160"/>
      </w:pPr>
    </w:p>
    <w:p>
      <w:pPr>
        <w:spacing w:after="140"/>
      </w:pPr>
      <w:r>
        <w:rPr>
          <w:b w:val="false"/>
          <w:bCs w:val="false"/>
        </w:rPr>
        <w:t xml:space="preserve">[PENDIENTE: cuadro de superficies útiles y construidas desglosado por planta, por vivienda y por local o dependencia, incluidos garaje, trasteros y zonas comunes]. [PENDIENTE: volumen edificado y definición de la envolvente geométrica]. [PENDIENTE: precisión sobre el cómputo de las cinco plantas respecto de la rasante y sobre la posición del sótano y del ático retranqueado].</w:t>
      </w:r>
    </w:p>
    <w:p>
      <w:pPr>
        <w:spacing w:after="140"/>
      </w:pPr>
      <w:r>
        <w:rPr>
          <w:b/>
          <w:bCs/>
        </w:rPr>
        <w:t xml:space="preserve">Accesos y evacuación.</w:t>
      </w:r>
      <w:r>
        <w:rPr>
          <w:b w:val="false"/>
          <w:bCs w:val="false"/>
        </w:rPr>
        <w:t xml:space="preserve"> El acceso peatonal principal se produce desde la calle Cartagena, mediante portal accesible con itinerario practicable hasta el ascensor. [PENDIENTE: definición del acceso rodado al garaje, de su rampa y de su vinculación con la vía pública]. [PENDIENTE: descripción de los recorridos de evacuación, salidas de planta y salidas de edificio, así como del dimensionado de la escalera, pendiente del cálculo de ocupación].</w:t>
      </w:r>
    </w:p>
    <w:p>
      <w:pPr>
        <w:spacing w:after="140"/>
      </w:pPr>
      <w:r>
        <w:rPr>
          <w:b/>
          <w:bCs/>
        </w:rPr>
        <w:t xml:space="preserve">Parámetros que determinan las previsiones técnicas.</w:t>
      </w:r>
    </w:p>
    <w:p>
      <w:pPr>
        <w:spacing w:after="140"/>
      </w:pPr>
      <w:r>
        <w:rPr>
          <w:b w:val="false"/>
          <w:bCs w:val="false"/>
        </w:rPr>
        <w:t xml:space="preserve">*Sistema estructural.* Estructura de hormigón armado, con pilares y forjado reticular de casetón perdido de canto 30+5. Muro de sótano de hormigón armado de 30 cm de espesor. Cimentación mediante losa de hormigón armado de 60 cm de canto (véase el apartado 2.1). [PENDIENTE: cálculo de la estructura, bases de cálculo, acciones adoptadas y características de los materiales estructurales].</w:t>
      </w:r>
    </w:p>
    <w:p>
      <w:pPr>
        <w:spacing w:after="140"/>
      </w:pPr>
      <w:r>
        <w:rPr>
          <w:b w:val="false"/>
          <w:bCs w:val="false"/>
        </w:rPr>
        <w:t xml:space="preserve">*Sistema de compartimentación.* La separación entre viviendas se resuelve con doble hoja de ladrillo y aislamiento acústico intermedio. La tabiquería interior se ejecuta con placa de yeso laminado sobre estructura metálica. [PENDIENTE: definición de espesores, composición completa de cada solución y prestaciones de resistencia al fuego y aislamiento acústico de los elementos de compartimentación].</w:t>
      </w:r>
    </w:p>
    <w:p>
      <w:pPr>
        <w:spacing w:after="140"/>
      </w:pPr>
      <w:r>
        <w:rPr>
          <w:b w:val="false"/>
          <w:bCs w:val="false"/>
        </w:rPr>
        <w:t xml:space="preserve">*Sistema envolvente.* Fachada ventilada de ladrillo cara vista, con cámara y aislamiento de lana mineral de 8 cm de espesor. Cubierta plana invertida no transitable. Carpintería exterior de aluminio con rotura de puente térmico y acristalamiento bajo emisivo con cámara. [PENDIENTE: composición completa de cada elemento de la envolvente y sus prestaciones térmicas, acústicas y de estanquidad]. [PENDIENTE: solución del muro de sótano en contacto con el terreno desde el punto de vista de la protección frente a la humedad].</w:t>
      </w:r>
    </w:p>
    <w:p>
      <w:pPr>
        <w:spacing w:after="140"/>
      </w:pPr>
      <w:r>
        <w:rPr>
          <w:b w:val="false"/>
          <w:bCs w:val="false"/>
        </w:rPr>
        <w:t xml:space="preserve">*Sistema de acabados.* Solado de porcelánico en viviendas y zonas comunes; alicatado en baños y cocinas; pintura plástica lisa en el resto de paramentos. [PENDIENTE: acabados de garaje, trasteros y cubierta, y definición de las características de deslizamiento de los solados en zonas húmedas y de acceso].</w:t>
      </w:r>
    </w:p>
    <w:p>
      <w:pPr>
        <w:spacing w:after="140"/>
      </w:pPr>
      <w:r>
        <w:rPr>
          <w:b w:val="false"/>
          <w:bCs w:val="false"/>
        </w:rPr>
        <w:t xml:space="preserve">*Sistema de acondicionamiento ambiental.* Aerotermia centralizada para calefacción y agua caliente sanitaria, con apoyo mediante instalación solar fotovoltaica en cubierta. Ventilación mecánica de doble flujo. [PENDIENTE: potencias, caudales y dimensionado de los sistemas]. [PENDIENTE: justificación de la contribución de energía procedente de fuentes renovables, condicionada al cálculo de demanda energética]. [PENDIENTE: previsión de refrigeración, en su caso].</w:t>
      </w:r>
    </w:p>
    <w:p>
      <w:pPr>
        <w:spacing w:after="140"/>
      </w:pPr>
      <w:r>
        <w:rPr>
          <w:b w:val="false"/>
          <w:bCs w:val="false"/>
        </w:rPr>
        <w:t xml:space="preserve">*Sistema de servicios.* Acometida y red de fontanería; saneamiento con red separativa; instalación eléctrica con previsión para recarga de vehículo eléctrico; ascensor con capacidad para seis personas; infraestructura común de telecomunicaciones (ICT); instalación de detección de incendios en el garaje. [PENDIENTE: definición y dimensionado de todas las instalaciones, así como de los puntos de acometida a las redes urbanas]. [PENDIENTE: previsión de recogida y almacenamiento de residuos].</w:t>
      </w:r>
    </w:p>
    <w:p>
      <w:pPr>
        <w:pStyle w:val="Heading3"/>
        <w:spacing w:after="140" w:before="320"/>
      </w:pPr>
      <w:r>
        <w:rPr>
          <w:b w:val="false"/>
          <w:bCs w:val="false"/>
        </w:rPr>
        <w:t xml:space="preserve">1.4 Prestaciones del edificio</w:t>
      </w:r>
    </w:p>
    <w:p>
      <w:pPr>
        <w:spacing w:after="140"/>
      </w:pPr>
      <w:r>
        <w:rPr>
          <w:b w:val="false"/>
          <w:bCs w:val="false"/>
        </w:rPr>
        <w:t xml:space="preserve">Se relacionan a continuación las prestaciones previstas por requisitos básicos. En fase de proyecto básico, y a falta del cálculo estructural y del cálculo de demanda energética, las prestaciones se enuncian mediante la descripción de la solución adoptada, quedando su justificación pendiente del proyecto de ejecución.</w:t>
      </w:r>
    </w:p>
    <w:p>
      <w:pPr>
        <w:spacing w:after="140"/>
      </w:pPr>
      <w:r>
        <w:rPr>
          <w:b/>
          <w:bCs/>
        </w:rPr>
        <w:t xml:space="preserve">Seguridad estructural (DB-SE).</w:t>
      </w:r>
      <w:r>
        <w:rPr>
          <w:b w:val="false"/>
          <w:bCs w:val="false"/>
        </w:rPr>
        <w:t xml:space="preserve"> Estructura de hormigón armado sobre losa de cimentación, dimensionada conforme a los parámetros geotécnicos recogidos en el apartado 2.1. [PENDIENTE: cálculo de la estructura y justificación de la resistencia y estabilidad y de la aptitud al servicio].</w:t>
      </w:r>
    </w:p>
    <w:p>
      <w:pPr>
        <w:spacing w:after="140"/>
      </w:pPr>
      <w:r>
        <w:rPr>
          <w:b/>
          <w:bCs/>
        </w:rPr>
        <w:t xml:space="preserve">Seguridad en caso de incendio (DB-SI).</w:t>
      </w:r>
      <w:r>
        <w:rPr>
          <w:b w:val="false"/>
          <w:bCs w:val="false"/>
        </w:rPr>
        <w:t xml:space="preserve"> Véase el apartado 3.2.</w:t>
      </w:r>
    </w:p>
    <w:p>
      <w:pPr>
        <w:spacing w:after="140"/>
      </w:pPr>
      <w:r>
        <w:rPr>
          <w:b/>
          <w:bCs/>
        </w:rPr>
        <w:t xml:space="preserve">Seguridad de utilización y accesibilidad (DB-SUA).</w:t>
      </w:r>
      <w:r>
        <w:rPr>
          <w:b w:val="false"/>
          <w:bCs w:val="false"/>
        </w:rPr>
        <w:t xml:space="preserve"> El edificio dispone de portal accesible desde la calle Cartagena con itinerario practicable hasta el ascensor, y de ascensor para seis personas. Resultan asimismo de aplicación la Ordenanza municipal de accesibilidad y el Decreto 39/1987 de la Región de Murcia. [PENDIENTE: justificación del DB-SUA y de la normativa autonómica y municipal de accesibilidad, incluidas las condiciones del itinerario accesible hasta el garaje y los trasteros].</w:t>
      </w:r>
    </w:p>
    <w:p>
      <w:pPr>
        <w:spacing w:after="140"/>
      </w:pPr>
      <w:r>
        <w:rPr>
          <w:b/>
          <w:bCs/>
        </w:rPr>
        <w:t xml:space="preserve">Salubridad (DB-HS).</w:t>
      </w:r>
      <w:r>
        <w:rPr>
          <w:b w:val="false"/>
          <w:bCs w:val="false"/>
        </w:rPr>
        <w:t xml:space="preserve"> Fachada ventilada con cámara, cubierta plana invertida, muro de sótano de hormigón armado, red de saneamiento separativa y ventilación mecánica de doble flujo. [PENDIENTE: justificación de la protección frente a la humedad, de la calidad del aire interior, del suministro de agua y de la evacuación de aguas]. [PENDIENTE: solución de recogida y evacuación de residuos].</w:t>
      </w:r>
    </w:p>
    <w:p>
      <w:pPr>
        <w:spacing w:after="140"/>
      </w:pPr>
      <w:r>
        <w:rPr>
          <w:b/>
          <w:bCs/>
        </w:rPr>
        <w:t xml:space="preserve">Protección frente al ruido (DB-HR).</w:t>
      </w:r>
      <w:r>
        <w:rPr>
          <w:b w:val="false"/>
          <w:bCs w:val="false"/>
        </w:rPr>
        <w:t xml:space="preserve"> Separación entre viviendas mediante doble hoja de ladrillo con aislamiento acústico intermedio y carpintería exterior con acristalamiento con cámara. [PENDIENTE: justificación del DB-HR, que requiere la definición completa de las soluciones constructivas y el correspondiente cálculo].</w:t>
      </w:r>
    </w:p>
    <w:p>
      <w:pPr>
        <w:spacing w:after="140"/>
      </w:pPr>
      <w:r>
        <w:rPr>
          <w:b/>
          <w:bCs/>
        </w:rPr>
        <w:t xml:space="preserve">Ahorro de energía (DB-HE).</w:t>
      </w:r>
      <w:r>
        <w:rPr>
          <w:b w:val="false"/>
          <w:bCs w:val="false"/>
        </w:rPr>
        <w:t xml:space="preserve"> Envolvente con aislamiento de lana mineral de 8 cm en fachada, cubierta invertida, carpintería de aluminio con rotura de puente térmico y vidrio bajo emisivo con cámara; producción centralizada mediante aerotermia y apoyo fotovoltaico en cubierta. [PENDIENTE: cálculo de demanda energética, consumo de energía primaria no renovable y justificación del DB-HE].</w:t>
      </w:r>
    </w:p>
    <w:p>
      <w:pPr>
        <w:spacing w:after="140"/>
      </w:pPr>
      <w:r>
        <w:rPr>
          <w:b/>
          <w:bCs/>
        </w:rPr>
        <w:t xml:space="preserve">Funcionalidad.</w:t>
      </w:r>
      <w:r>
        <w:rPr>
          <w:b w:val="false"/>
          <w:bCs w:val="false"/>
        </w:rPr>
        <w:t xml:space="preserve"> El edificio responde al programa de necesidades del promotor descrito en el apartado 1.3. [PENDIENTE: justificación del cumplimiento de las condiciones de habitabilidad y de superficies mínimas exigibles conforme a la normativa autonómica].</w:t>
      </w:r>
    </w:p>
    <w:p>
      <w:pPr>
        <w:spacing w:after="140"/>
      </w:pPr>
      <w:r>
        <w:rPr>
          <w:b/>
          <w:bCs/>
        </w:rPr>
        <w:t xml:space="preserve">Prestaciones acordadas que superen los umbrales del CTE.</w:t>
      </w:r>
      <w:r>
        <w:rPr>
          <w:b w:val="false"/>
          <w:bCs w:val="false"/>
        </w:rPr>
        <w:t xml:space="preserve"> No consta acuerdo entre promotor y proyectista relativo a prestaciones superiores a las exigidas por el CTE. [PENDIENTE: confirmación expresa del promotor].</w:t>
      </w:r>
    </w:p>
    <w:p>
      <w:pPr>
        <w:spacing w:after="140"/>
      </w:pPr>
      <w:r>
        <w:rPr>
          <w:b/>
          <w:bCs/>
        </w:rPr>
        <w:t xml:space="preserve">Limitaciones de uso.</w:t>
      </w:r>
      <w:r>
        <w:rPr>
          <w:b w:val="false"/>
          <w:bCs w:val="false"/>
        </w:rPr>
        <w:t xml:space="preserve"> El edificio solo podrá destinarse al uso residencial vivienda y, en planta sótano, a garaje y trasteros, conforme a lo previsto en este proyecto. Las dependencias e instalaciones no podrán destinarse a un uso distinto de aquel para el que han sido proyectadas, ni someterse a sobrecargas, modificaciones de compartimentación o alteraciones de las instalaciones sin un estudio técnico previo que acredite su viabilidad. [PENDIENTE: limitaciones de uso específicas de cada dependencia e instalación, en particular sobrecargas de uso admisibles en garaje, trasteros y cubierta, condicionadas al cálculo estructural].</w:t>
      </w:r>
    </w:p>
    <w:p>
      <w:pPr>
        <w:pStyle w:val="Heading3"/>
        <w:spacing w:after="140" w:before="320"/>
      </w:pPr>
      <w:r>
        <w:rPr>
          <w:b w:val="false"/>
          <w:bCs w:val="false"/>
        </w:rPr>
        <w:t xml:space="preserve">2.1 Sustentación del edificio</w:t>
      </w:r>
    </w:p>
    <w:p>
      <w:pPr>
        <w:spacing w:after="140"/>
      </w:pPr>
      <w:r>
        <w:rPr>
          <w:b/>
          <w:bCs/>
        </w:rPr>
        <w:t xml:space="preserve">Estudio geotécnico.</w:t>
      </w:r>
      <w:r>
        <w:rPr>
          <w:b w:val="false"/>
          <w:bCs w:val="false"/>
        </w:rPr>
        <w:t xml:space="preserve"> Se dispone del estudio geotécnico redactado por Geotecnia del Sureste S.L. en mayo de 2026, cuyos resultados relevantes para el proyecto son los siguientes:</w:t>
      </w:r>
    </w:p>
    <w:p>
      <w:pPr>
        <w:spacing w:after="60"/>
        <w:ind w:left="340" w:hanging="240"/>
      </w:pPr>
      <w:r>
        <w:rPr>
          <w:b/>
          <w:bCs/>
          <w:color w:val="1D4ED8"/>
        </w:rPr>
        <w:t xml:space="preserve">•	</w:t>
      </w:r>
      <w:r>
        <w:rPr>
          <w:b w:val="false"/>
          <w:bCs w:val="false"/>
        </w:rPr>
        <w:t xml:space="preserve">Naturaleza del terreno: arcilloso, de consistencia firme.</w:t>
      </w:r>
    </w:p>
    <w:p>
      <w:pPr>
        <w:spacing w:after="60"/>
        <w:ind w:left="340" w:hanging="240"/>
      </w:pPr>
      <w:r>
        <w:rPr>
          <w:b/>
          <w:bCs/>
          <w:color w:val="1D4ED8"/>
        </w:rPr>
        <w:t xml:space="preserve">•	</w:t>
      </w:r>
      <w:r>
        <w:rPr>
          <w:b w:val="false"/>
          <w:bCs w:val="false"/>
        </w:rPr>
        <w:t xml:space="preserve">Tensión admisible: 0,18 MPa a 2,50 m de profundidad.</w:t>
      </w:r>
    </w:p>
    <w:p>
      <w:pPr>
        <w:spacing w:after="60"/>
        <w:ind w:left="340" w:hanging="240"/>
      </w:pPr>
      <w:r>
        <w:rPr>
          <w:b/>
          <w:bCs/>
          <w:color w:val="1D4ED8"/>
        </w:rPr>
        <w:t xml:space="preserve">•	</w:t>
      </w:r>
      <w:r>
        <w:rPr>
          <w:b w:val="false"/>
          <w:bCs w:val="false"/>
        </w:rPr>
        <w:t xml:space="preserve">Nivel freático: no detectado hasta los 8 m de profundidad.</w:t>
      </w:r>
    </w:p>
    <w:p>
      <w:pPr>
        <w:spacing w:after="140"/>
      </w:pPr>
      <w:r>
        <w:rPr>
          <w:b w:val="false"/>
          <w:bCs w:val="false"/>
        </w:rPr>
        <w:t xml:space="preserve">[PENDIENTE: número, tipo y situación de los reconocimientos realizados; perfil estratigráfico; ensayos efectuados; agresividad del terreno frente al hormigón; asientos previsibles y recomendaciones expresas del estudio geotécnico]. [PENDIENTE: verificación de que el reconocimiento del terreno realizado se corresponde con el tipo de construcción y el grupo de terreno del edificio proyectado].</w:t>
      </w:r>
    </w:p>
    <w:p>
      <w:pPr>
        <w:spacing w:after="140"/>
      </w:pPr>
      <w:r>
        <w:rPr>
          <w:b/>
          <w:bCs/>
        </w:rPr>
        <w:t xml:space="preserve">Solución de cimentación adoptada.</w:t>
      </w:r>
      <w:r>
        <w:rPr>
          <w:b w:val="false"/>
          <w:bCs w:val="false"/>
        </w:rPr>
        <w:t xml:space="preserve"> Losa de hormigón armado de 60 cm de canto, apoyada sobre el estrato arcilloso firme. El sótano se contiene mediante muro perimetral de hormigón armado de 30 cm de espesor. La ausencia de nivel freático hasta los 8 m según el estudio geotécnico condiciona el planteamiento de las medidas frente al agua freática, cuyo alcance definitivo se establecerá en el proyecto de ejecución.</w:t>
      </w:r>
    </w:p>
    <w:p>
      <w:pPr>
        <w:spacing w:after="140"/>
      </w:pPr>
      <w:r>
        <w:rPr>
          <w:b w:val="false"/>
          <w:bCs w:val="false"/>
        </w:rPr>
        <w:t xml:space="preserve">[PENDIENTE: cota de apoyo de la losa y comprobación de su correspondencia con la profundidad a la que se refiere la tensión admisible facilitada]. [PENDIENTE: cálculo de la cimentación —comprobaciones de capacidad portante, asientos y estados límite—, características de los materiales y armado]. [PENDIENTE: comprobación del muro de sótano frente a los empujes del terreno]. [PENDIENTE: estudio de la afección a las edificaciones colindantes y medidas de contención provisional durante la excavación].</w:t>
      </w:r>
    </w:p>
    <w:p>
      <w:pPr>
        <w:pStyle w:val="Heading3"/>
        <w:spacing w:after="140" w:before="320"/>
      </w:pPr>
      <w:r>
        <w:rPr>
          <w:b w:val="false"/>
          <w:bCs w:val="false"/>
        </w:rPr>
        <w:t xml:space="preserve">3.2 Seguridad en caso de incendio</w:t>
      </w:r>
    </w:p>
    <w:p>
      <w:pPr>
        <w:spacing w:after="140"/>
      </w:pPr>
      <w:r>
        <w:rPr>
          <w:b w:val="false"/>
          <w:bCs w:val="false"/>
        </w:rPr>
        <w:t xml:space="preserve">Se describen las previsiones del proyecto en relación con la exigencia básica SI. Al tratarse de proyecto básico, la justificación numérica del DB-SI queda pendiente del proyecto de ejecución.</w:t>
      </w:r>
    </w:p>
    <w:p>
      <w:pPr>
        <w:spacing w:after="140"/>
      </w:pPr>
      <w:r>
        <w:rPr>
          <w:b/>
          <w:bCs/>
        </w:rPr>
        <w:t xml:space="preserve">Propagación interior.</w:t>
      </w:r>
      <w:r>
        <w:rPr>
          <w:b w:val="false"/>
          <w:bCs w:val="false"/>
        </w:rPr>
        <w:t xml:space="preserve"> El edificio alberga uso residencial vivienda y, en planta sótano, un garaje con ocho plazas y ocho trasteros, usos que determinan la necesidad de establecer la correspondiente sectorización. La compartimentación entre viviendas se resuelve con doble hoja de ladrillo y aislamiento intermedio, y la tabiquería interior con placa de yeso laminado sobre estructura metálica. [PENDIENTE: definición de sectores de incendio y superficies de cada uno]. [PENDIENTE: resistencia al fuego exigible a los elementos separadores entre sectores y a los que delimitan el garaje y la zona de trasteros]. [PENDIENTE: clasificación de reacción al fuego de los revestimientos]. [PENDIENTE: condiciones del vestíbulo de independencia y del recinto del ascensor en su relación con el sótano].</w:t>
      </w:r>
    </w:p>
    <w:p>
      <w:pPr>
        <w:spacing w:after="140"/>
      </w:pPr>
      <w:r>
        <w:rPr>
          <w:b/>
          <w:bCs/>
        </w:rPr>
        <w:t xml:space="preserve">Propagación exterior.</w:t>
      </w:r>
      <w:r>
        <w:rPr>
          <w:b w:val="false"/>
          <w:bCs w:val="false"/>
        </w:rPr>
        <w:t xml:space="preserve"> Fachada ventilada de ladrillo cara vista con cámara y aislamiento de lana mineral, y cubierta plana invertida no transitable. La existencia de medianera en el lindero norte exige verificar las condiciones de propagación entre edificios colindantes. [PENDIENTE: justificación de la propagación exterior por fachada y cubierta, incluida la resistencia al fuego de la medianería y el comportamiento del sistema de fachada ventilada con cámara].</w:t>
      </w:r>
    </w:p>
    <w:p>
      <w:pPr>
        <w:spacing w:after="140"/>
      </w:pPr>
      <w:r>
        <w:rPr>
          <w:b/>
          <w:bCs/>
        </w:rPr>
        <w:t xml:space="preserve">Evacuación de los ocupantes.</w:t>
      </w:r>
      <w:r>
        <w:rPr>
          <w:b w:val="false"/>
          <w:bCs w:val="false"/>
        </w:rPr>
        <w:t xml:space="preserve"> El acceso se produce desde la calle Cartagena a través del portal, con itinerario practicable hasta el ascensor. [PENDIENTE: cálculo de ocupación del edificio y del garaje]. [PENDIENTE: número y disposición de salidas, longitud de los recorridos de evacuación y dimensionado de puertas, pasillos y escalera]. [PENDIENTE: determinación de si la escalera debe ser protegida o especialmente protegida]. [PENDIENTE: señalización de los medios de evacuación]. [PENDIENTE: condiciones de evacuación del garaje en sótano].</w:t>
      </w:r>
    </w:p>
    <w:p>
      <w:pPr>
        <w:spacing w:after="140"/>
      </w:pPr>
      <w:r>
        <w:rPr>
          <w:b/>
          <w:bCs/>
        </w:rPr>
        <w:t xml:space="preserve">Instalaciones de protección contra incendios.</w:t>
      </w:r>
      <w:r>
        <w:rPr>
          <w:b w:val="false"/>
          <w:bCs w:val="false"/>
        </w:rPr>
        <w:t xml:space="preserve"> El proyecto prevé instalación de detección de incendios en el garaje. [PENDIENTE: dotación completa de instalaciones de protección contra incendios exigible al edificio y al garaje —extintores, bocas de incendio equipadas, alumbrado de emergencia, señalización y, en su caso, otras instalaciones—, condicionada al cálculo de superficies y ocupación]. [PENDIENTE: justificación conforme al Reglamento de instalaciones de protección contra incendios en lo que resulte de aplicación].</w:t>
      </w:r>
    </w:p>
    <w:p>
      <w:pPr>
        <w:spacing w:after="140"/>
      </w:pPr>
      <w:r>
        <w:rPr>
          <w:b/>
          <w:bCs/>
        </w:rPr>
        <w:t xml:space="preserve">Intervención de los bomberos.</w:t>
      </w:r>
      <w:r>
        <w:rPr>
          <w:b w:val="false"/>
          <w:bCs w:val="false"/>
        </w:rPr>
        <w:t xml:space="preserve"> El edificio dispone de dos frentes a vía pública, calle Cartagena y Avenida de Europa. [PENDIENTE: comprobación de las condiciones de aproximación y entorno de los vehículos de bomberos y de la accesibilidad por fachada].</w:t>
      </w:r>
    </w:p>
    <w:p>
      <w:pPr>
        <w:spacing w:after="140"/>
      </w:pPr>
      <w:r>
        <w:rPr>
          <w:b/>
          <w:bCs/>
        </w:rPr>
        <w:t xml:space="preserve">Resistencia al fuego de la estructura.</w:t>
      </w:r>
      <w:r>
        <w:rPr>
          <w:b w:val="false"/>
          <w:bCs w:val="false"/>
        </w:rPr>
        <w:t xml:space="preserve"> Estructura de hormigón armado con pilares y forjado reticular, y muro de sótano de hormigón armado. [PENDIENTE: resistencia al fuego exigible a los elementos estructurales, en particular en el sector de garaje, y justificación de su cumplimiento mediante recubrimientos o revestimientos, condicionada al cálculo estructural].</w:t>
      </w:r>
    </w:p>
    <w:p>
      <w:r>
        <w:br w:type="page"/>
      </w:r>
    </w:p>
    <w:p>
      <w:pPr>
        <w:spacing w:after="200"/>
      </w:pPr>
      <w:r>
        <w:rPr>
          <w:b/>
          <w:bCs/>
          <w:color w:val="1D4ED8"/>
          <w:sz w:val="18"/>
          <w:szCs w:val="18"/>
        </w:rPr>
        <w:t xml:space="preserve">QUÉ MÁS LLEVA EL PROYECTO — BÁSICO</w:t>
      </w:r>
    </w:p>
    <w:p>
      <w:pPr>
        <w:pStyle w:val="Heading1"/>
        <w:spacing w:after="140" w:before="0"/>
      </w:pPr>
      <w:r>
        <w:rPr>
          <w:b w:val="false"/>
          <w:bCs w:val="false"/>
        </w:rPr>
        <w:t xml:space="preserve">Qué más lleva el proyecto</w:t>
      </w:r>
    </w:p>
    <w:p>
      <w:pPr>
        <w:spacing w:after="140"/>
      </w:pPr>
      <w:r>
        <w:rPr>
          <w:b w:val="false"/>
          <w:bCs w:val="false"/>
        </w:rPr>
        <w:t xml:space="preserve">Edificio de 8 viviendas, garaje y trasteros · proyecto básico</w:t>
      </w:r>
    </w:p>
    <w:p>
      <w:pPr>
        <w:pBdr>
          <w:left w:val="single" w:color="CBD5E1" w:sz="12" w:space="12"/>
        </w:pBdr>
        <w:spacing w:after="160" w:before="120"/>
        <w:ind w:left="340"/>
      </w:pPr>
      <w:r>
        <w:rPr>
          <w:b w:val="false"/>
          <w:bCs w:val="false"/>
          <w:color w:val="475569"/>
        </w:rPr>
        <w:t xml:space="preserve">En este anejo se relacionan los contenidos del proyecto de edificación, sin perjuicio de lo que, en su caso, establezcan las Administraciones competentes. Los marcados con asterisco son los que, al menos, debe contener el Proyecto Básico.</w:t>
      </w:r>
    </w:p>
    <w:p>
      <w:pPr>
        <w:pStyle w:val="Heading2"/>
        <w:spacing w:after="140" w:before="320"/>
      </w:pPr>
      <w:r>
        <w:rPr>
          <w:b w:val="false"/>
          <w:bCs w:val="false"/>
        </w:rPr>
        <w:t xml:space="preserve">I. Memoria — lo que te hemos redactado</w:t>
      </w:r>
    </w:p>
    <w:p>
      <w:pPr>
        <w:spacing w:after="60"/>
        <w:ind w:left="340" w:hanging="240"/>
      </w:pPr>
      <w:r>
        <w:rPr>
          <w:b/>
          <w:bCs/>
          <w:color w:val="1D4ED8"/>
        </w:rPr>
        <w:t xml:space="preserve">•	</w:t>
      </w:r>
      <w:r>
        <w:rPr>
          <w:b w:val="false"/>
          <w:bCs w:val="false"/>
        </w:rPr>
        <w:t xml:space="preserve">[x] </w:t>
      </w:r>
      <w:r>
        <w:rPr>
          <w:b/>
          <w:bCs/>
        </w:rPr>
        <w:t xml:space="preserve">1.1</w:t>
      </w:r>
      <w:r>
        <w:rPr>
          <w:b w:val="false"/>
          <w:bCs w:val="false"/>
        </w:rPr>
        <w:t xml:space="preserve"> Agentes *</w:t>
      </w:r>
    </w:p>
    <w:p>
      <w:pPr>
        <w:spacing w:after="60"/>
        <w:ind w:left="340" w:hanging="240"/>
      </w:pPr>
      <w:r>
        <w:rPr>
          <w:b/>
          <w:bCs/>
          <w:color w:val="1D4ED8"/>
        </w:rPr>
        <w:t xml:space="preserve">•	</w:t>
      </w:r>
      <w:r>
        <w:rPr>
          <w:b w:val="false"/>
          <w:bCs w:val="false"/>
        </w:rPr>
        <w:t xml:space="preserve">[x] </w:t>
      </w:r>
      <w:r>
        <w:rPr>
          <w:b/>
          <w:bCs/>
        </w:rPr>
        <w:t xml:space="preserve">1.2</w:t>
      </w:r>
      <w:r>
        <w:rPr>
          <w:b w:val="false"/>
          <w:bCs w:val="false"/>
        </w:rPr>
        <w:t xml:space="preserve"> Información previa *</w:t>
      </w:r>
    </w:p>
    <w:p>
      <w:pPr>
        <w:spacing w:after="60"/>
        <w:ind w:left="340" w:hanging="240"/>
      </w:pPr>
      <w:r>
        <w:rPr>
          <w:b/>
          <w:bCs/>
          <w:color w:val="1D4ED8"/>
        </w:rPr>
        <w:t xml:space="preserve">•	</w:t>
      </w:r>
      <w:r>
        <w:rPr>
          <w:b w:val="false"/>
          <w:bCs w:val="false"/>
        </w:rPr>
        <w:t xml:space="preserve">[x] </w:t>
      </w:r>
      <w:r>
        <w:rPr>
          <w:b/>
          <w:bCs/>
        </w:rPr>
        <w:t xml:space="preserve">1.3</w:t>
      </w:r>
      <w:r>
        <w:rPr>
          <w:b w:val="false"/>
          <w:bCs w:val="false"/>
        </w:rPr>
        <w:t xml:space="preserve"> Descripción del proyecto *</w:t>
      </w:r>
    </w:p>
    <w:p>
      <w:pPr>
        <w:spacing w:after="60"/>
        <w:ind w:left="340" w:hanging="240"/>
      </w:pPr>
      <w:r>
        <w:rPr>
          <w:b/>
          <w:bCs/>
          <w:color w:val="1D4ED8"/>
        </w:rPr>
        <w:t xml:space="preserve">•	</w:t>
      </w:r>
      <w:r>
        <w:rPr>
          <w:b w:val="false"/>
          <w:bCs w:val="false"/>
        </w:rPr>
        <w:t xml:space="preserve">[x] </w:t>
      </w:r>
      <w:r>
        <w:rPr>
          <w:b/>
          <w:bCs/>
        </w:rPr>
        <w:t xml:space="preserve">1.4</w:t>
      </w:r>
      <w:r>
        <w:rPr>
          <w:b w:val="false"/>
          <w:bCs w:val="false"/>
        </w:rPr>
        <w:t xml:space="preserve"> Prestaciones del edificio *</w:t>
      </w:r>
    </w:p>
    <w:p>
      <w:pPr>
        <w:spacing w:after="60"/>
        <w:ind w:left="340" w:hanging="240"/>
      </w:pPr>
      <w:r>
        <w:rPr>
          <w:b/>
          <w:bCs/>
          <w:color w:val="1D4ED8"/>
        </w:rPr>
        <w:t xml:space="preserve">•	</w:t>
      </w:r>
      <w:r>
        <w:rPr>
          <w:b w:val="false"/>
          <w:bCs w:val="false"/>
        </w:rPr>
        <w:t xml:space="preserve">[x] </w:t>
      </w:r>
      <w:r>
        <w:rPr>
          <w:b/>
          <w:bCs/>
        </w:rPr>
        <w:t xml:space="preserve">2.1</w:t>
      </w:r>
      <w:r>
        <w:rPr>
          <w:b w:val="false"/>
          <w:bCs w:val="false"/>
        </w:rPr>
        <w:t xml:space="preserve"> Sustentación del edificio *</w:t>
      </w:r>
    </w:p>
    <w:p>
      <w:pPr>
        <w:spacing w:after="60"/>
        <w:ind w:left="340" w:hanging="240"/>
      </w:pPr>
      <w:r>
        <w:rPr>
          <w:b/>
          <w:bCs/>
          <w:color w:val="1D4ED8"/>
        </w:rPr>
        <w:t xml:space="preserve">•	</w:t>
      </w:r>
      <w:r>
        <w:rPr>
          <w:b w:val="false"/>
          <w:bCs w:val="false"/>
        </w:rPr>
        <w:t xml:space="preserve">[x] </w:t>
      </w:r>
      <w:r>
        <w:rPr>
          <w:b/>
          <w:bCs/>
        </w:rPr>
        <w:t xml:space="preserve">3.2</w:t>
      </w:r>
      <w:r>
        <w:rPr>
          <w:b w:val="false"/>
          <w:bCs w:val="false"/>
        </w:rPr>
        <w:t xml:space="preserve"> Seguridad en caso de incendio *</w:t>
      </w:r>
    </w:p>
    <w:p>
      <w:pPr>
        <w:pStyle w:val="Heading3"/>
        <w:spacing w:after="140" w:before="320"/>
      </w:pPr>
      <w:r>
        <w:rPr>
          <w:b w:val="false"/>
          <w:bCs w:val="false"/>
        </w:rPr>
        <w:t xml:space="preserve">Lo que entra en el proyecto de ejecución</w:t>
      </w:r>
    </w:p>
    <w:p>
      <w:pPr>
        <w:spacing w:after="60"/>
        <w:ind w:left="340" w:hanging="240"/>
      </w:pPr>
      <w:r>
        <w:rPr>
          <w:b/>
          <w:bCs/>
          <w:color w:val="1D4ED8"/>
        </w:rPr>
        <w:t xml:space="preserve">•	</w:t>
      </w:r>
      <w:r>
        <w:rPr>
          <w:b w:val="false"/>
          <w:bCs w:val="false"/>
        </w:rPr>
        <w:t xml:space="preserve">[ ] </w:t>
      </w:r>
      <w:r>
        <w:rPr>
          <w:b/>
          <w:bCs/>
        </w:rPr>
        <w:t xml:space="preserve">2.2</w:t>
      </w:r>
      <w:r>
        <w:rPr>
          <w:b w:val="false"/>
          <w:bCs w:val="false"/>
        </w:rPr>
        <w:t xml:space="preserve"> Sistema estructural</w:t>
      </w:r>
    </w:p>
    <w:p>
      <w:pPr>
        <w:spacing w:after="60"/>
        <w:ind w:left="340" w:hanging="240"/>
      </w:pPr>
      <w:r>
        <w:rPr>
          <w:b/>
          <w:bCs/>
          <w:color w:val="1D4ED8"/>
        </w:rPr>
        <w:t xml:space="preserve">•	</w:t>
      </w:r>
      <w:r>
        <w:rPr>
          <w:b w:val="false"/>
          <w:bCs w:val="false"/>
        </w:rPr>
        <w:t xml:space="preserve">[ ] </w:t>
      </w:r>
      <w:r>
        <w:rPr>
          <w:b/>
          <w:bCs/>
        </w:rPr>
        <w:t xml:space="preserve">2.3</w:t>
      </w:r>
      <w:r>
        <w:rPr>
          <w:b w:val="false"/>
          <w:bCs w:val="false"/>
        </w:rPr>
        <w:t xml:space="preserve"> Sistema envolvente</w:t>
      </w:r>
    </w:p>
    <w:p>
      <w:pPr>
        <w:spacing w:after="60"/>
        <w:ind w:left="340" w:hanging="240"/>
      </w:pPr>
      <w:r>
        <w:rPr>
          <w:b/>
          <w:bCs/>
          <w:color w:val="1D4ED8"/>
        </w:rPr>
        <w:t xml:space="preserve">•	</w:t>
      </w:r>
      <w:r>
        <w:rPr>
          <w:b w:val="false"/>
          <w:bCs w:val="false"/>
        </w:rPr>
        <w:t xml:space="preserve">[ ] </w:t>
      </w:r>
      <w:r>
        <w:rPr>
          <w:b/>
          <w:bCs/>
        </w:rPr>
        <w:t xml:space="preserve">2.4</w:t>
      </w:r>
      <w:r>
        <w:rPr>
          <w:b w:val="false"/>
          <w:bCs w:val="false"/>
        </w:rPr>
        <w:t xml:space="preserve"> Sistema de compartimentación</w:t>
      </w:r>
    </w:p>
    <w:p>
      <w:pPr>
        <w:spacing w:after="60"/>
        <w:ind w:left="340" w:hanging="240"/>
      </w:pPr>
      <w:r>
        <w:rPr>
          <w:b/>
          <w:bCs/>
          <w:color w:val="1D4ED8"/>
        </w:rPr>
        <w:t xml:space="preserve">•	</w:t>
      </w:r>
      <w:r>
        <w:rPr>
          <w:b w:val="false"/>
          <w:bCs w:val="false"/>
        </w:rPr>
        <w:t xml:space="preserve">[ ] </w:t>
      </w:r>
      <w:r>
        <w:rPr>
          <w:b/>
          <w:bCs/>
        </w:rPr>
        <w:t xml:space="preserve">2.5</w:t>
      </w:r>
      <w:r>
        <w:rPr>
          <w:b w:val="false"/>
          <w:bCs w:val="false"/>
        </w:rPr>
        <w:t xml:space="preserve"> Sistemas de acabados</w:t>
      </w:r>
    </w:p>
    <w:p>
      <w:pPr>
        <w:spacing w:after="60"/>
        <w:ind w:left="340" w:hanging="240"/>
      </w:pPr>
      <w:r>
        <w:rPr>
          <w:b/>
          <w:bCs/>
          <w:color w:val="1D4ED8"/>
        </w:rPr>
        <w:t xml:space="preserve">•	</w:t>
      </w:r>
      <w:r>
        <w:rPr>
          <w:b w:val="false"/>
          <w:bCs w:val="false"/>
        </w:rPr>
        <w:t xml:space="preserve">[ ] </w:t>
      </w:r>
      <w:r>
        <w:rPr>
          <w:b/>
          <w:bCs/>
        </w:rPr>
        <w:t xml:space="preserve">2.6</w:t>
      </w:r>
      <w:r>
        <w:rPr>
          <w:b w:val="false"/>
          <w:bCs w:val="false"/>
        </w:rPr>
        <w:t xml:space="preserve"> Sistemas de acondicionamiento e instalaciones</w:t>
      </w:r>
    </w:p>
    <w:p>
      <w:pPr>
        <w:spacing w:after="60"/>
        <w:ind w:left="340" w:hanging="240"/>
      </w:pPr>
      <w:r>
        <w:rPr>
          <w:b/>
          <w:bCs/>
          <w:color w:val="1D4ED8"/>
        </w:rPr>
        <w:t xml:space="preserve">•	</w:t>
      </w:r>
      <w:r>
        <w:rPr>
          <w:b w:val="false"/>
          <w:bCs w:val="false"/>
        </w:rPr>
        <w:t xml:space="preserve">[ ] </w:t>
      </w:r>
      <w:r>
        <w:rPr>
          <w:b/>
          <w:bCs/>
        </w:rPr>
        <w:t xml:space="preserve">2.7</w:t>
      </w:r>
      <w:r>
        <w:rPr>
          <w:b w:val="false"/>
          <w:bCs w:val="false"/>
        </w:rPr>
        <w:t xml:space="preserve"> Equipamiento</w:t>
      </w:r>
    </w:p>
    <w:p>
      <w:pPr>
        <w:spacing w:after="60"/>
        <w:ind w:left="340" w:hanging="240"/>
      </w:pPr>
      <w:r>
        <w:rPr>
          <w:b/>
          <w:bCs/>
          <w:color w:val="1D4ED8"/>
        </w:rPr>
        <w:t xml:space="preserve">•	</w:t>
      </w:r>
      <w:r>
        <w:rPr>
          <w:b w:val="false"/>
          <w:bCs w:val="false"/>
        </w:rPr>
        <w:t xml:space="preserve">[ ] </w:t>
      </w:r>
      <w:r>
        <w:rPr>
          <w:b/>
          <w:bCs/>
        </w:rPr>
        <w:t xml:space="preserve">3.1</w:t>
      </w:r>
      <w:r>
        <w:rPr>
          <w:b w:val="false"/>
          <w:bCs w:val="false"/>
        </w:rPr>
        <w:t xml:space="preserve"> Seguridad estructural</w:t>
      </w:r>
    </w:p>
    <w:p>
      <w:pPr>
        <w:spacing w:after="60"/>
        <w:ind w:left="340" w:hanging="240"/>
      </w:pPr>
      <w:r>
        <w:rPr>
          <w:b/>
          <w:bCs/>
          <w:color w:val="1D4ED8"/>
        </w:rPr>
        <w:t xml:space="preserve">•	</w:t>
      </w:r>
      <w:r>
        <w:rPr>
          <w:b w:val="false"/>
          <w:bCs w:val="false"/>
        </w:rPr>
        <w:t xml:space="preserve">[ ] </w:t>
      </w:r>
      <w:r>
        <w:rPr>
          <w:b/>
          <w:bCs/>
        </w:rPr>
        <w:t xml:space="preserve">3.3</w:t>
      </w:r>
      <w:r>
        <w:rPr>
          <w:b w:val="false"/>
          <w:bCs w:val="false"/>
        </w:rPr>
        <w:t xml:space="preserve"> Seguridad de utilización y accesibilidad</w:t>
      </w:r>
    </w:p>
    <w:p>
      <w:pPr>
        <w:spacing w:after="60"/>
        <w:ind w:left="340" w:hanging="240"/>
      </w:pPr>
      <w:r>
        <w:rPr>
          <w:b/>
          <w:bCs/>
          <w:color w:val="1D4ED8"/>
        </w:rPr>
        <w:t xml:space="preserve">•	</w:t>
      </w:r>
      <w:r>
        <w:rPr>
          <w:b w:val="false"/>
          <w:bCs w:val="false"/>
        </w:rPr>
        <w:t xml:space="preserve">[ ] </w:t>
      </w:r>
      <w:r>
        <w:rPr>
          <w:b/>
          <w:bCs/>
        </w:rPr>
        <w:t xml:space="preserve">3.4</w:t>
      </w:r>
      <w:r>
        <w:rPr>
          <w:b w:val="false"/>
          <w:bCs w:val="false"/>
        </w:rPr>
        <w:t xml:space="preserve"> Salubridad</w:t>
      </w:r>
    </w:p>
    <w:p>
      <w:pPr>
        <w:spacing w:after="60"/>
        <w:ind w:left="340" w:hanging="240"/>
      </w:pPr>
      <w:r>
        <w:rPr>
          <w:b/>
          <w:bCs/>
          <w:color w:val="1D4ED8"/>
        </w:rPr>
        <w:t xml:space="preserve">•	</w:t>
      </w:r>
      <w:r>
        <w:rPr>
          <w:b w:val="false"/>
          <w:bCs w:val="false"/>
        </w:rPr>
        <w:t xml:space="preserve">[ ] </w:t>
      </w:r>
      <w:r>
        <w:rPr>
          <w:b/>
          <w:bCs/>
        </w:rPr>
        <w:t xml:space="preserve">3.5</w:t>
      </w:r>
      <w:r>
        <w:rPr>
          <w:b w:val="false"/>
          <w:bCs w:val="false"/>
        </w:rPr>
        <w:t xml:space="preserve"> Protección contra el ruido</w:t>
      </w:r>
    </w:p>
    <w:p>
      <w:pPr>
        <w:spacing w:after="60"/>
        <w:ind w:left="340" w:hanging="240"/>
      </w:pPr>
      <w:r>
        <w:rPr>
          <w:b/>
          <w:bCs/>
          <w:color w:val="1D4ED8"/>
        </w:rPr>
        <w:t xml:space="preserve">•	</w:t>
      </w:r>
      <w:r>
        <w:rPr>
          <w:b w:val="false"/>
          <w:bCs w:val="false"/>
        </w:rPr>
        <w:t xml:space="preserve">[ ] </w:t>
      </w:r>
      <w:r>
        <w:rPr>
          <w:b/>
          <w:bCs/>
        </w:rPr>
        <w:t xml:space="preserve">3.6</w:t>
      </w:r>
      <w:r>
        <w:rPr>
          <w:b w:val="false"/>
          <w:bCs w:val="false"/>
        </w:rPr>
        <w:t xml:space="preserve"> Ahorro de energía</w:t>
      </w:r>
    </w:p>
    <w:p>
      <w:pPr>
        <w:pStyle w:val="Heading2"/>
        <w:spacing w:after="140" w:before="320"/>
      </w:pPr>
      <w:r>
        <w:rPr>
          <w:b w:val="false"/>
          <w:bCs w:val="false"/>
        </w:rPr>
        <w:t xml:space="preserve">II. Planos</w:t>
      </w:r>
    </w:p>
    <w:p>
      <w:pPr>
        <w:spacing w:after="60"/>
        <w:ind w:left="340" w:hanging="240"/>
      </w:pPr>
      <w:r>
        <w:rPr>
          <w:b/>
          <w:bCs/>
          <w:color w:val="1D4ED8"/>
        </w:rPr>
        <w:t xml:space="preserve">•	</w:t>
      </w:r>
      <w:r>
        <w:rPr>
          <w:b w:val="false"/>
          <w:bCs w:val="false"/>
        </w:rPr>
        <w:t xml:space="preserve">[ ] </w:t>
      </w:r>
      <w:r>
        <w:rPr>
          <w:b/>
          <w:bCs/>
        </w:rPr>
        <w:t xml:space="preserve">Plano de situación </w:t>
      </w:r>
      <w:r>
        <w:rPr>
          <w:b w:val="false"/>
          <w:bCs w:val="false"/>
        </w:rPr>
        <w:t xml:space="preserve">* — Referido al planeamiento vigente, con referencia a puntos localizables y con indicación del norte geográfico.</w:t>
      </w:r>
    </w:p>
    <w:p>
      <w:pPr>
        <w:spacing w:after="60"/>
        <w:ind w:left="340" w:hanging="240"/>
      </w:pPr>
      <w:r>
        <w:rPr>
          <w:b/>
          <w:bCs/>
          <w:color w:val="1D4ED8"/>
        </w:rPr>
        <w:t xml:space="preserve">•	</w:t>
      </w:r>
      <w:r>
        <w:rPr>
          <w:b w:val="false"/>
          <w:bCs w:val="false"/>
        </w:rPr>
        <w:t xml:space="preserve">[ ] </w:t>
      </w:r>
      <w:r>
        <w:rPr>
          <w:b/>
          <w:bCs/>
        </w:rPr>
        <w:t xml:space="preserve">Plano de emplazamiento </w:t>
      </w:r>
      <w:r>
        <w:rPr>
          <w:b w:val="false"/>
          <w:bCs w:val="false"/>
        </w:rPr>
        <w:t xml:space="preserve">* — Justificación urbanística, alineaciones, retranqueos.</w:t>
      </w:r>
    </w:p>
    <w:p>
      <w:pPr>
        <w:spacing w:after="60"/>
        <w:ind w:left="340" w:hanging="240"/>
      </w:pPr>
      <w:r>
        <w:rPr>
          <w:b/>
          <w:bCs/>
          <w:color w:val="1D4ED8"/>
        </w:rPr>
        <w:t xml:space="preserve">•	</w:t>
      </w:r>
      <w:r>
        <w:rPr>
          <w:b w:val="false"/>
          <w:bCs w:val="false"/>
        </w:rPr>
        <w:t xml:space="preserve">[ ] </w:t>
      </w:r>
      <w:r>
        <w:rPr>
          <w:b/>
          <w:bCs/>
        </w:rPr>
        <w:t xml:space="preserve">Plano de urbanización </w:t>
      </w:r>
      <w:r>
        <w:rPr>
          <w:b w:val="false"/>
          <w:bCs w:val="false"/>
        </w:rPr>
        <w:t xml:space="preserve">* — Red viaria, acometidas.</w:t>
      </w:r>
    </w:p>
    <w:p>
      <w:pPr>
        <w:spacing w:after="60"/>
        <w:ind w:left="340" w:hanging="240"/>
      </w:pPr>
      <w:r>
        <w:rPr>
          <w:b/>
          <w:bCs/>
          <w:color w:val="1D4ED8"/>
        </w:rPr>
        <w:t xml:space="preserve">•	</w:t>
      </w:r>
      <w:r>
        <w:rPr>
          <w:b w:val="false"/>
          <w:bCs w:val="false"/>
        </w:rPr>
        <w:t xml:space="preserve">[ ] </w:t>
      </w:r>
      <w:r>
        <w:rPr>
          <w:b/>
          <w:bCs/>
        </w:rPr>
        <w:t xml:space="preserve">Plantas generales </w:t>
      </w:r>
      <w:r>
        <w:rPr>
          <w:b w:val="false"/>
          <w:bCs w:val="false"/>
        </w:rPr>
        <w:t xml:space="preserve">* — Acotadas, con indicación de escala y de usos, reflejando los elementos fijos y los de mobiliario cuando sea preciso para comprobar la funcionalidad de los espacios.</w:t>
      </w:r>
    </w:p>
    <w:p>
      <w:pPr>
        <w:spacing w:after="60"/>
        <w:ind w:left="340" w:hanging="240"/>
      </w:pPr>
      <w:r>
        <w:rPr>
          <w:b/>
          <w:bCs/>
          <w:color w:val="1D4ED8"/>
        </w:rPr>
        <w:t xml:space="preserve">•	</w:t>
      </w:r>
      <w:r>
        <w:rPr>
          <w:b w:val="false"/>
          <w:bCs w:val="false"/>
        </w:rPr>
        <w:t xml:space="preserve">[ ] </w:t>
      </w:r>
      <w:r>
        <w:rPr>
          <w:b/>
          <w:bCs/>
        </w:rPr>
        <w:t xml:space="preserve">Planos de cubiertas </w:t>
      </w:r>
      <w:r>
        <w:rPr>
          <w:b w:val="false"/>
          <w:bCs w:val="false"/>
        </w:rPr>
        <w:t xml:space="preserve">* — Pendientes, puntos de recogida de aguas.</w:t>
      </w:r>
    </w:p>
    <w:p>
      <w:pPr>
        <w:spacing w:after="60"/>
        <w:ind w:left="340" w:hanging="240"/>
      </w:pPr>
      <w:r>
        <w:rPr>
          <w:b/>
          <w:bCs/>
          <w:color w:val="1D4ED8"/>
        </w:rPr>
        <w:t xml:space="preserve">•	</w:t>
      </w:r>
      <w:r>
        <w:rPr>
          <w:b w:val="false"/>
          <w:bCs w:val="false"/>
        </w:rPr>
        <w:t xml:space="preserve">[ ] </w:t>
      </w:r>
      <w:r>
        <w:rPr>
          <w:b/>
          <w:bCs/>
        </w:rPr>
        <w:t xml:space="preserve">Alzados y secciones </w:t>
      </w:r>
      <w:r>
        <w:rPr>
          <w:b w:val="false"/>
          <w:bCs w:val="false"/>
        </w:rPr>
        <w:t xml:space="preserve">* — Acotados, con indicación de escala y cotas de altura de plantas, gruesos de forjado y alturas totales.</w:t>
      </w:r>
    </w:p>
    <w:p>
      <w:pPr>
        <w:pStyle w:val="Heading3"/>
        <w:spacing w:after="140" w:before="320"/>
      </w:pPr>
      <w:r>
        <w:rPr>
          <w:b w:val="false"/>
          <w:bCs w:val="false"/>
        </w:rPr>
        <w:t xml:space="preserve">Planos del proyecto de ejecución</w:t>
      </w:r>
    </w:p>
    <w:p>
      <w:pPr>
        <w:spacing w:after="60"/>
        <w:ind w:left="340" w:hanging="240"/>
      </w:pPr>
      <w:r>
        <w:rPr>
          <w:b/>
          <w:bCs/>
          <w:color w:val="1D4ED8"/>
        </w:rPr>
        <w:t xml:space="preserve">•	</w:t>
      </w:r>
      <w:r>
        <w:rPr>
          <w:b w:val="false"/>
          <w:bCs w:val="false"/>
        </w:rPr>
        <w:t xml:space="preserve">[ ] </w:t>
      </w:r>
      <w:r>
        <w:rPr>
          <w:b/>
          <w:bCs/>
        </w:rPr>
        <w:t xml:space="preserve">Planos de estructura</w:t>
      </w:r>
      <w:r>
        <w:rPr>
          <w:b w:val="false"/>
          <w:bCs w:val="false"/>
        </w:rPr>
        <w:t xml:space="preserve"> — Descripción gráfica y dimensional de todo el sistema estructural. En los de cimentación, además, su relación con el entorno inmediato y el conjunto de la obra.</w:t>
      </w:r>
    </w:p>
    <w:p>
      <w:pPr>
        <w:spacing w:after="60"/>
        <w:ind w:left="340" w:hanging="240"/>
      </w:pPr>
      <w:r>
        <w:rPr>
          <w:b/>
          <w:bCs/>
          <w:color w:val="1D4ED8"/>
        </w:rPr>
        <w:t xml:space="preserve">•	</w:t>
      </w:r>
      <w:r>
        <w:rPr>
          <w:b w:val="false"/>
          <w:bCs w:val="false"/>
        </w:rPr>
        <w:t xml:space="preserve">[ ] </w:t>
      </w:r>
      <w:r>
        <w:rPr>
          <w:b/>
          <w:bCs/>
        </w:rPr>
        <w:t xml:space="preserve">Planos de instalaciones</w:t>
      </w:r>
      <w:r>
        <w:rPr>
          <w:b w:val="false"/>
          <w:bCs w:val="false"/>
        </w:rPr>
        <w:t xml:space="preserve"> — Descripción gráfica y dimensional de las redes de cada instalación, plantas, secciones y detalles.</w:t>
      </w:r>
    </w:p>
    <w:p>
      <w:pPr>
        <w:spacing w:after="60"/>
        <w:ind w:left="340" w:hanging="240"/>
      </w:pPr>
      <w:r>
        <w:rPr>
          <w:b/>
          <w:bCs/>
          <w:color w:val="1D4ED8"/>
        </w:rPr>
        <w:t xml:space="preserve">•	</w:t>
      </w:r>
      <w:r>
        <w:rPr>
          <w:b w:val="false"/>
          <w:bCs w:val="false"/>
        </w:rPr>
        <w:t xml:space="preserve">[ ] </w:t>
      </w:r>
      <w:r>
        <w:rPr>
          <w:b/>
          <w:bCs/>
        </w:rPr>
        <w:t xml:space="preserve">Planos de definición constructiva</w:t>
      </w:r>
      <w:r>
        <w:rPr>
          <w:b w:val="false"/>
          <w:bCs w:val="false"/>
        </w:rPr>
        <w:t xml:space="preserve"> — Documentación gráfica de detalles constructivos.</w:t>
      </w:r>
    </w:p>
    <w:p>
      <w:pPr>
        <w:spacing w:after="60"/>
        <w:ind w:left="340" w:hanging="240"/>
      </w:pPr>
      <w:r>
        <w:rPr>
          <w:b/>
          <w:bCs/>
          <w:color w:val="1D4ED8"/>
        </w:rPr>
        <w:t xml:space="preserve">•	</w:t>
      </w:r>
      <w:r>
        <w:rPr>
          <w:b w:val="false"/>
          <w:bCs w:val="false"/>
        </w:rPr>
        <w:t xml:space="preserve">[ ] </w:t>
      </w:r>
      <w:r>
        <w:rPr>
          <w:b/>
          <w:bCs/>
        </w:rPr>
        <w:t xml:space="preserve">Memorias gráficas</w:t>
      </w:r>
      <w:r>
        <w:rPr>
          <w:b w:val="false"/>
          <w:bCs w:val="false"/>
        </w:rPr>
        <w:t xml:space="preserve"> — Soluciones concretas y elementos singulares: carpintería, cerrajería.</w:t>
      </w:r>
    </w:p>
    <w:p>
      <w:pPr>
        <w:pStyle w:val="Heading2"/>
        <w:spacing w:after="140" w:before="320"/>
      </w:pPr>
      <w:r>
        <w:rPr>
          <w:b w:val="false"/>
          <w:bCs w:val="false"/>
        </w:rPr>
        <w:t xml:space="preserve">Y lo demás</w:t>
      </w:r>
    </w:p>
    <w:p>
      <w:pPr>
        <w:spacing w:after="60"/>
        <w:ind w:left="340" w:hanging="240"/>
      </w:pPr>
      <w:r>
        <w:rPr>
          <w:b/>
          <w:bCs/>
          <w:color w:val="1D4ED8"/>
        </w:rPr>
        <w:t xml:space="preserve">•	</w:t>
      </w:r>
      <w:r>
        <w:rPr>
          <w:b w:val="false"/>
          <w:bCs w:val="false"/>
        </w:rPr>
        <w:t xml:space="preserve">[ ] </w:t>
      </w:r>
      <w:r>
        <w:rPr>
          <w:b/>
          <w:bCs/>
        </w:rPr>
        <w:t xml:space="preserve">Cumplimiento de otros reglamentos y disposiciones.</w:t>
      </w:r>
      <w:r>
        <w:rPr>
          <w:b w:val="false"/>
          <w:bCs w:val="false"/>
        </w:rPr>
        <w:t xml:space="preserve"> Justificación del cumplimiento de otros reglamentos obligatorios no realizada en el apartado de cumplimiento del CTE, y justificación del cumplimiento de los requisitos básicos relativos a la funcionalidad de acuerdo con su normativa específica.</w:t>
      </w:r>
    </w:p>
    <w:p>
      <w:pPr>
        <w:spacing w:after="60"/>
        <w:ind w:left="340" w:hanging="240"/>
      </w:pPr>
      <w:r>
        <w:rPr>
          <w:b/>
          <w:bCs/>
          <w:color w:val="1D4ED8"/>
        </w:rPr>
        <w:t xml:space="preserve">•	</w:t>
      </w:r>
      <w:r>
        <w:rPr>
          <w:b w:val="false"/>
          <w:bCs w:val="false"/>
        </w:rPr>
        <w:t xml:space="preserve">[ ] </w:t>
      </w:r>
      <w:r>
        <w:rPr>
          <w:b/>
          <w:bCs/>
        </w:rPr>
        <w:t xml:space="preserve">Anejos a la memoria.</w:t>
      </w:r>
      <w:r>
        <w:rPr>
          <w:b w:val="false"/>
          <w:bCs w:val="false"/>
        </w:rPr>
        <w:t xml:space="preserve"> El proyecto contendrá tantos anejos como sean necesarios: información geotécnica, cálculo de la estructura, protección contra el incendio, instalaciones del edificio, eficiencia energética, estudio de impacto ambiental, plan de control de calidad y estudio de seguridad y salud o estudio básico, en su caso.</w:t>
      </w:r>
    </w:p>
    <w:p>
      <w:pPr>
        <w:spacing w:after="60"/>
        <w:ind w:left="340" w:hanging="240"/>
      </w:pPr>
      <w:r>
        <w:rPr>
          <w:b/>
          <w:bCs/>
          <w:color w:val="1D4ED8"/>
        </w:rPr>
        <w:t xml:space="preserve">•	</w:t>
      </w:r>
      <w:r>
        <w:rPr>
          <w:b w:val="false"/>
          <w:bCs w:val="false"/>
        </w:rPr>
        <w:t xml:space="preserve">[ ] </w:t>
      </w:r>
      <w:r>
        <w:rPr>
          <w:b/>
          <w:bCs/>
        </w:rPr>
        <w:t xml:space="preserve">III. Pliego de condiciones.</w:t>
      </w:r>
      <w:r>
        <w:rPr>
          <w:b w:val="false"/>
          <w:bCs w:val="false"/>
        </w:rPr>
        <w:t xml:space="preserve"> Pliego de cláusulas administrativas —disposiciones generales, facultativas y económicas— y pliego de condiciones técnicas particulares, con las prescripciones sobre los materiales, sobre la ejecución por unidades de obra y sobre las verificaciones en el edificio terminado.</w:t>
      </w:r>
    </w:p>
    <w:p>
      <w:pPr>
        <w:spacing w:after="60"/>
        <w:ind w:left="340" w:hanging="240"/>
      </w:pPr>
      <w:r>
        <w:rPr>
          <w:b/>
          <w:bCs/>
          <w:color w:val="1D4ED8"/>
        </w:rPr>
        <w:t xml:space="preserve">•	</w:t>
      </w:r>
      <w:r>
        <w:rPr>
          <w:b w:val="false"/>
          <w:bCs w:val="false"/>
        </w:rPr>
        <w:t xml:space="preserve">[ ] </w:t>
      </w:r>
      <w:r>
        <w:rPr>
          <w:b/>
          <w:bCs/>
        </w:rPr>
        <w:t xml:space="preserve">IV. Mediciones.</w:t>
      </w:r>
      <w:r>
        <w:rPr>
          <w:b w:val="false"/>
          <w:bCs w:val="false"/>
        </w:rPr>
        <w:t xml:space="preserve"> Desarrollo por partidas, agrupadas en capítulos, conteniendo todas las descripciones técnicas necesarias para su especificación y valoración.</w:t>
      </w:r>
    </w:p>
    <w:p>
      <w:pPr>
        <w:spacing w:after="60"/>
        <w:ind w:left="340" w:hanging="240"/>
      </w:pPr>
      <w:r>
        <w:rPr>
          <w:b/>
          <w:bCs/>
          <w:color w:val="1D4ED8"/>
        </w:rPr>
        <w:t xml:space="preserve">•	</w:t>
      </w:r>
      <w:r>
        <w:rPr>
          <w:b w:val="false"/>
          <w:bCs w:val="false"/>
        </w:rPr>
        <w:t xml:space="preserve">[ ] </w:t>
      </w:r>
      <w:r>
        <w:rPr>
          <w:b/>
          <w:bCs/>
        </w:rPr>
        <w:t xml:space="preserve">V. Presupuesto.</w:t>
      </w:r>
      <w:r>
        <w:rPr>
          <w:b w:val="false"/>
          <w:bCs w:val="false"/>
        </w:rPr>
        <w:t xml:space="preserve"> Cuadro de precios agrupado por capítulos y resumen por capítulos, con expresión del valor final de ejecución y contrata.</w:t>
      </w:r>
    </w:p>
    <w:p>
      <w:pPr>
        <w:pBdr>
          <w:bottom w:val="single" w:color="CBD5E1" w:sz="6" w:space="8"/>
        </w:pBdr>
        <w:spacing w:after="200" w:before="200"/>
      </w:pPr>
    </w:p>
    <w:p>
      <w:pPr>
        <w:spacing w:after="140"/>
      </w:pPr>
      <w:r>
        <w:rPr>
          <w:b w:val="false"/>
          <w:bCs w:val="false"/>
        </w:rPr>
        <w:t xml:space="preserve">\* Lo marcado con asterisco es lo que, al menos, debe contener el Proyecto Básico. El asterisco es del propio Anejo I, no nuestro.</w:t>
      </w:r>
    </w:p>
    <w:p>
      <w:r>
        <w:br w:type="page"/>
      </w:r>
    </w:p>
    <w:p>
      <w:pPr>
        <w:spacing w:after="200"/>
      </w:pPr>
      <w:r>
        <w:rPr>
          <w:b/>
          <w:bCs/>
          <w:color w:val="1D4ED8"/>
          <w:sz w:val="18"/>
          <w:szCs w:val="18"/>
        </w:rPr>
        <w:t xml:space="preserve">ADVERTENCIAS</w:t>
      </w:r>
    </w:p>
    <w:p>
      <w:pPr>
        <w:pStyle w:val="Heading1"/>
        <w:spacing w:after="140" w:before="0"/>
      </w:pPr>
      <w:r>
        <w:rPr>
          <w:b w:val="false"/>
          <w:bCs w:val="false"/>
        </w:rPr>
        <w:t xml:space="preserve">Advertencias</w:t>
      </w:r>
    </w:p>
    <w:p>
      <w:pPr>
        <w:spacing w:after="60"/>
        <w:ind w:left="340" w:hanging="240"/>
      </w:pPr>
      <w:r>
        <w:rPr>
          <w:b/>
          <w:bCs/>
          <w:color w:val="1D4ED8"/>
        </w:rPr>
        <w:t xml:space="preserve">•	</w:t>
      </w:r>
      <w:r>
        <w:rPr>
          <w:b w:val="false"/>
          <w:bCs w:val="false"/>
        </w:rPr>
        <w:t xml:space="preserve">Quedan 63 huecos marcados como pendientes. No los hemos rellenado a ojo: quien firma la memoria responde diez años.</w:t>
      </w:r>
    </w:p>
    <w:p>
      <w:pPr>
        <w:spacing w:after="60"/>
        <w:ind w:left="340" w:hanging="240"/>
      </w:pPr>
      <w:r>
        <w:rPr>
          <w:b/>
          <w:bCs/>
          <w:color w:val="1D4ED8"/>
        </w:rPr>
        <w:t xml:space="preserve">•	</w:t>
      </w:r>
      <w:r>
        <w:rPr>
          <w:b w:val="false"/>
          <w:bCs w:val="false"/>
        </w:rPr>
        <w:t xml:space="preserve">Es un proyecto básico, así que van las 6 secciones que el Anejo I marca con asterisco. Las otras 11 entran en el de ejecución.</w:t>
      </w:r>
    </w:p>
    <w:p>
      <w:pPr>
        <w:spacing w:after="60"/>
        <w:ind w:left="340" w:hanging="240"/>
      </w:pPr>
      <w:r>
        <w:rPr>
          <w:b/>
          <w:bCs/>
          <w:color w:val="1D4ED8"/>
        </w:rPr>
        <w:t xml:space="preserve">•	</w:t>
      </w:r>
      <w:r>
        <w:rPr>
          <w:b w:val="false"/>
          <w:bCs w:val="false"/>
        </w:rPr>
        <w:t xml:space="preserve">Cuando el proyecto se desarrolle o complete mediante proyectos parciales u otros documentos técnicos, en la memoria del proyecto se hará referencia a éstos y a su contenido, y se integrarán en el proyecto por el proyectista, bajo su coordinación, como documentos diferenciados, de tal forma que no se produzca duplicidad de los mismos.</w:t>
      </w:r>
    </w:p>
    <w:p>
      <w:pPr>
        <w:spacing w:after="60"/>
        <w:ind w:left="340" w:hanging="240"/>
      </w:pPr>
      <w:r>
        <w:rPr>
          <w:b/>
          <w:bCs/>
          <w:color w:val="1D4ED8"/>
        </w:rPr>
        <w:t xml:space="preserve">•	</w:t>
      </w:r>
      <w:r>
        <w:rPr>
          <w:b w:val="false"/>
          <w:bCs w:val="false"/>
        </w:rPr>
        <w:t xml:space="preserve">El contenido del Anejo I es «sin perjuicio de lo que, en su caso, establezcan las Administraciones competentes»: tu colegio o tu ayuntamiento pueden pedir más.</w:t>
      </w:r>
    </w:p>
    <w:p>
      <w:r>
        <w:br w:type="page"/>
      </w:r>
    </w:p>
    <w:p>
      <w:pPr>
        <w:spacing w:after="200"/>
      </w:pPr>
      <w:r>
        <w:rPr>
          <w:b/>
          <w:bCs/>
          <w:color w:val="1D4ED8"/>
          <w:sz w:val="18"/>
          <w:szCs w:val="18"/>
        </w:rPr>
        <w:t xml:space="preserve">DE DÓNDE SALE CADA COSA</w:t>
      </w:r>
    </w:p>
    <w:p>
      <w:pPr>
        <w:pStyle w:val="Heading1"/>
        <w:spacing w:after="140" w:before="0"/>
      </w:pPr>
      <w:r>
        <w:rPr>
          <w:b w:val="false"/>
          <w:bCs w:val="false"/>
        </w:rPr>
        <w:t xml:space="preserve">De dónde sale cada cosa</w:t>
      </w:r>
    </w:p>
    <w:p>
      <w:pPr>
        <w:spacing w:after="140"/>
      </w:pPr>
      <w:r>
        <w:rPr>
          <w:b w:val="false"/>
          <w:bCs w:val="false"/>
        </w:rPr>
        <w:t xml:space="preserve">Cada afirmación con su norma, su artículo y el enlace a la fuente oficial. La firma y la responsabilidad son de quien presenta el documento.</w:t>
      </w:r>
    </w:p>
    <w:p>
      <w:pPr>
        <w:spacing w:after="140"/>
      </w:pPr>
      <w:r>
        <w:rPr>
          <w:b/>
          <w:bCs/>
        </w:rPr>
        <w:t xml:space="preserve">Real Decreto 314/2006, de 17 de marzo, por el que se aprueba el Código Técnico de la Edificación, art. Anejo I, Contenido del proyecto</w:t>
      </w:r>
    </w:p>
    <w:p>
      <w:pPr>
        <w:spacing w:after="140"/>
      </w:pPr>
      <w:r>
        <w:rPr>
          <w:b w:val="false"/>
          <w:bCs w:val="false"/>
        </w:rPr>
        <w:t xml:space="preserve">En este anejo se relacionan los contenidos del proyecto de edificación, sin perjuicio de lo que, en su caso, establezcan las Administraciones competentes. Los marcados con asterisco son los que, al menos, debe contener el Proyecto Básico.</w:t>
      </w:r>
    </w:p>
    <w:p>
      <w:pPr>
        <w:spacing w:after="140"/>
      </w:pPr>
      <w:r>
        <w:rPr>
          <w:b w:val="false"/>
          <w:bCs w:val="false"/>
        </w:rPr>
        <w:t xml:space="preserve">https://www.boe.es/buscar/act.php?id=BOE-A-2006-5515</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475569"/>
        <w:sz w:val="16"/>
        <w:szCs w:val="16"/>
      </w:rPr>
      <w:t xml:space="preserve">tramitaia.es    </w:t>
    </w:r>
    <w:r>
      <w:rPr>
        <w:color w:val="475569"/>
        <w:sz w:val="16"/>
        <w:szCs w:val="16"/>
      </w:rPr>
      <w:fldChar w:fldCharType="begin"/>
      <w:instrText xml:space="preserve">PAGE</w:instrText>
      <w:fldChar w:fldCharType="separate"/>
      <w:fldChar w:fldCharType="end"/>
    </w:r>
    <w:r>
      <w:rPr>
        <w:color w:val="475569"/>
        <w:sz w:val="16"/>
        <w:szCs w:val="16"/>
      </w:rPr>
      <w:t xml:space="preserve"> de </w:t>
    </w:r>
    <w:r>
      <w:rPr>
        <w:color w:val="47556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F17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F172A"/>
      <w:sz w:val="30"/>
      <w:szCs w:val="30"/>
    </w:rPr>
  </w:style>
  <w:style w:type="paragraph" w:styleId="Heading2">
    <w:name w:val="Heading 2"/>
    <w:basedOn w:val="Normal"/>
    <w:next w:val="Normal"/>
    <w:qFormat/>
    <w:rPr>
      <w:rFonts w:ascii="Calibri" w:cs="Calibri" w:eastAsia="Calibri" w:hAnsi="Calibri"/>
      <w:b/>
      <w:bCs/>
      <w:color w:val="0F172A"/>
      <w:sz w:val="25"/>
      <w:szCs w:val="25"/>
    </w:rPr>
  </w:style>
  <w:style w:type="paragraph" w:styleId="Heading3">
    <w:name w:val="Heading 3"/>
    <w:basedOn w:val="Normal"/>
    <w:next w:val="Normal"/>
    <w:qFormat/>
    <w:rPr>
      <w:rFonts w:ascii="Calibri" w:cs="Calibri" w:eastAsia="Calibri" w:hAnsi="Calibri"/>
      <w:b/>
      <w:bCs/>
      <w:color w:val="475569"/>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básico de ocho viviendas en Murcia</dc:title>
  <dc:creator>tramitaIA</dc:creator>
  <cp:lastModifiedBy>Un-named</cp:lastModifiedBy>
  <cp:revision>1</cp:revision>
  <dcterms:created xsi:type="dcterms:W3CDTF">2026-09-07T16:57:24.798Z</dcterms:created>
  <dcterms:modified xsi:type="dcterms:W3CDTF">2026-09-07T16:57:24.798Z</dcterms:modified>
</cp:coreProperties>
</file>

<file path=docProps/custom.xml><?xml version="1.0" encoding="utf-8"?>
<Properties xmlns="http://schemas.openxmlformats.org/officeDocument/2006/custom-properties" xmlns:vt="http://schemas.openxmlformats.org/officeDocument/2006/docPropsVTypes"/>
</file>