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PLAN DE CONTROL DE CALIDAD</w:t>
      </w:r>
    </w:p>
    <w:p>
      <w:pPr>
        <w:pStyle w:val="Title"/>
        <w:spacing w:after="120"/>
      </w:pPr>
      <w:r>
        <w:rPr>
          <w:b/>
          <w:bCs/>
          <w:color w:val="0F172A"/>
          <w:sz w:val="40"/>
          <w:szCs w:val="40"/>
        </w:rPr>
        <w:t xml:space="preserve">Edificio de 14 viviendas con estructura de hormigón</w:t>
      </w:r>
    </w:p>
    <w:p>
      <w:pPr>
        <w:pBdr>
          <w:bottom w:val="single" w:color="CBD5E1" w:sz="6" w:space="10"/>
        </w:pBdr>
        <w:spacing w:after="320"/>
      </w:pPr>
      <w:r>
        <w:rPr>
          <w:b w:val="false"/>
          <w:bCs w:val="false"/>
          <w:i/>
          <w:iCs/>
          <w:color w:val="475569"/>
          <w:sz w:val="19"/>
          <w:szCs w:val="19"/>
        </w:rPr>
        <w:t xml:space="preserve">Ejemplo real generado con el mismo motor que sirve a los clientes. La obra es inventada. Las frecuencias de ensayo salen marcadas como pendientes a propósito: las fija el pliego del proyecto. Generado el 7 de septiembre de 2026.</w:t>
      </w:r>
    </w:p>
    <w:p>
      <w:pPr>
        <w:spacing w:after="200"/>
      </w:pPr>
      <w:r>
        <w:rPr>
          <w:b/>
          <w:bCs/>
          <w:color w:val="1D4ED8"/>
          <w:sz w:val="18"/>
          <w:szCs w:val="18"/>
        </w:rPr>
        <w:t xml:space="preserve">PLAN DE CONTROL DE CALIDAD — EDIFICIO MARINA, 14 VIVIENDAS</w:t>
      </w:r>
    </w:p>
    <w:p>
      <w:pPr>
        <w:pStyle w:val="Heading1"/>
        <w:spacing w:after="140" w:before="0"/>
      </w:pPr>
      <w:r>
        <w:rPr>
          <w:b w:val="false"/>
          <w:bCs w:val="false"/>
        </w:rPr>
        <w:t xml:space="preserve">Plan de control de calidad</w:t>
      </w:r>
    </w:p>
    <w:p>
      <w:pPr>
        <w:spacing w:after="140"/>
      </w:pPr>
      <w:r>
        <w:rPr>
          <w:b/>
          <w:bCs/>
        </w:rPr>
        <w:t xml:space="preserve">Obra:</w:t>
      </w:r>
      <w:r>
        <w:rPr>
          <w:b w:val="false"/>
          <w:bCs w:val="false"/>
        </w:rPr>
        <w:t xml:space="preserve"> Edificio Marina, 14 viviendas · Calle Marina 4, Cartagena </w:t>
      </w:r>
      <w:r>
        <w:rPr>
          <w:b/>
          <w:bCs/>
        </w:rPr>
        <w:t xml:space="preserve">Superficie:</w:t>
      </w:r>
      <w:r>
        <w:rPr>
          <w:b w:val="false"/>
          <w:bCs w:val="false"/>
        </w:rPr>
        <w:t xml:space="preserve"> 1840 m² · </w:t>
      </w:r>
      <w:r>
        <w:rPr>
          <w:b/>
          <w:bCs/>
        </w:rPr>
        <w:t xml:space="preserve">Estructura:</w:t>
      </w:r>
      <w:r>
        <w:rPr>
          <w:b w:val="false"/>
          <w:bCs w:val="false"/>
        </w:rPr>
        <w:t xml:space="preserve"> hormigón armado in situ</w:t>
      </w:r>
    </w:p>
    <w:p>
      <w:pPr>
        <w:pStyle w:val="Heading2"/>
        <w:spacing w:after="140" w:before="320"/>
      </w:pPr>
      <w:r>
        <w:rPr>
          <w:b w:val="false"/>
          <w:bCs w:val="false"/>
        </w:rPr>
        <w:t xml:space="preserve">1. Objeto y quién controla</w:t>
      </w:r>
    </w:p>
    <w:p>
      <w:pPr>
        <w:spacing w:after="140"/>
      </w:pPr>
      <w:r>
        <w:rPr>
          <w:b w:val="false"/>
          <w:bCs w:val="false"/>
        </w:rPr>
        <w:t xml:space="preserve">Este plan recoge el control de calidad de la obra, que comprende el control de recepción de los productos, el control de la ejecución y el control de la obra terminada.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Función</w:t>
            </w:r>
          </w:p>
        </w:tc>
        <w:tc>
          <w:tcPr>
            <w:shd w:fill="F1F5F9" w:val="clear"/>
            <w:tcMar>
              <w:top w:type="dxa" w:w="80"/>
              <w:left w:type="dxa" w:w="120"/>
              <w:bottom w:type="dxa" w:w="80"/>
              <w:right w:type="dxa" w:w="120"/>
            </w:tcMar>
          </w:tcPr>
          <w:p>
            <w:pPr>
              <w:spacing w:after="0" w:before="0"/>
            </w:pPr>
            <w:r>
              <w:rPr>
                <w:b/>
                <w:bCs/>
                <w:color w:val="0F172A"/>
                <w:sz w:val="19"/>
                <w:szCs w:val="19"/>
              </w:rPr>
              <w:t xml:space="preserve">Quién</w:t>
            </w:r>
          </w:p>
        </w:tc>
      </w:tr>
      <w:tr>
        <w:tc>
          <w:tcPr>
            <w:tcMar>
              <w:top w:type="dxa" w:w="80"/>
              <w:left w:type="dxa" w:w="120"/>
              <w:bottom w:type="dxa" w:w="80"/>
              <w:right w:type="dxa" w:w="120"/>
            </w:tcMar>
          </w:tcPr>
          <w:p>
            <w:pPr>
              <w:spacing w:after="0" w:before="0"/>
            </w:pPr>
            <w:r>
              <w:rPr>
                <w:b w:val="false"/>
                <w:bCs w:val="false"/>
                <w:color w:val="0F172A"/>
                <w:sz w:val="19"/>
                <w:szCs w:val="19"/>
              </w:rPr>
              <w:t xml:space="preserve">Recopila la documentación del control y verifica que es conforme al proyecto</w:t>
            </w:r>
          </w:p>
        </w:tc>
        <w:tc>
          <w:tcPr>
            <w:tcMar>
              <w:top w:type="dxa" w:w="80"/>
              <w:left w:type="dxa" w:w="120"/>
              <w:bottom w:type="dxa" w:w="80"/>
              <w:right w:type="dxa" w:w="120"/>
            </w:tcMar>
          </w:tcPr>
          <w:p>
            <w:pPr>
              <w:spacing w:after="0" w:before="0"/>
            </w:pPr>
            <w:r>
              <w:rPr>
                <w:b w:val="false"/>
                <w:bCs w:val="false"/>
                <w:color w:val="0F172A"/>
                <w:sz w:val="19"/>
                <w:szCs w:val="19"/>
              </w:rPr>
              <w:t xml:space="preserve">Luis Ortiz, arquitecto técnico</w:t>
            </w:r>
          </w:p>
        </w:tc>
      </w:tr>
      <w:tr>
        <w:tc>
          <w:tcPr>
            <w:tcMar>
              <w:top w:type="dxa" w:w="80"/>
              <w:left w:type="dxa" w:w="120"/>
              <w:bottom w:type="dxa" w:w="80"/>
              <w:right w:type="dxa" w:w="120"/>
            </w:tcMar>
          </w:tcPr>
          <w:p>
            <w:pPr>
              <w:spacing w:after="0" w:before="0"/>
            </w:pPr>
            <w:r>
              <w:rPr>
                <w:b w:val="false"/>
                <w:bCs w:val="false"/>
                <w:color w:val="0F172A"/>
                <w:sz w:val="19"/>
                <w:szCs w:val="19"/>
              </w:rPr>
              <w:t xml:space="preserve">Recaba de los suministradores la documentación de los productos</w:t>
            </w:r>
          </w:p>
        </w:tc>
        <w:tc>
          <w:tcPr>
            <w:tcMar>
              <w:top w:type="dxa" w:w="80"/>
              <w:left w:type="dxa" w:w="120"/>
              <w:bottom w:type="dxa" w:w="80"/>
              <w:right w:type="dxa" w:w="120"/>
            </w:tcMar>
          </w:tcPr>
          <w:p>
            <w:pPr>
              <w:spacing w:after="0" w:before="0"/>
            </w:pPr>
            <w:r>
              <w:rPr>
                <w:b w:val="false"/>
                <w:bCs w:val="false"/>
                <w:color w:val="0F172A"/>
                <w:sz w:val="19"/>
                <w:szCs w:val="19"/>
              </w:rPr>
              <w:t xml:space="preserve">El constructor</w:t>
            </w:r>
          </w:p>
        </w:tc>
      </w:tr>
      <w:tr>
        <w:tc>
          <w:tcPr>
            <w:tcMar>
              <w:top w:type="dxa" w:w="80"/>
              <w:left w:type="dxa" w:w="120"/>
              <w:bottom w:type="dxa" w:w="80"/>
              <w:right w:type="dxa" w:w="120"/>
            </w:tcMar>
          </w:tcPr>
          <w:p>
            <w:pPr>
              <w:spacing w:after="0" w:before="0"/>
            </w:pPr>
            <w:r>
              <w:rPr>
                <w:b w:val="false"/>
                <w:bCs w:val="false"/>
                <w:color w:val="0F172A"/>
                <w:sz w:val="19"/>
                <w:szCs w:val="19"/>
              </w:rPr>
              <w:t xml:space="preserve">Laboratorio de control</w:t>
            </w:r>
          </w:p>
        </w:tc>
        <w:tc>
          <w:tcPr>
            <w:tcMar>
              <w:top w:type="dxa" w:w="80"/>
              <w:left w:type="dxa" w:w="120"/>
              <w:bottom w:type="dxa" w:w="80"/>
              <w:right w:type="dxa" w:w="120"/>
            </w:tcMar>
          </w:tcPr>
          <w:p>
            <w:pPr>
              <w:spacing w:after="0" w:before="0"/>
            </w:pPr>
            <w:r>
              <w:rPr>
                <w:b w:val="false"/>
                <w:bCs w:val="false"/>
                <w:color w:val="0F172A"/>
                <w:sz w:val="19"/>
                <w:szCs w:val="19"/>
              </w:rPr>
              <w:t xml:space="preserve">Laboratorio de Control del Sureste S.L. · Declaración responsable presentada ante la Comunidad Autónoma</w:t>
            </w:r>
          </w:p>
        </w:tc>
      </w:tr>
    </w:tbl>
    <w:p>
      <w:pPr>
        <w:spacing w:after="160"/>
      </w:pPr>
    </w:p>
    <w:p>
      <w:pPr>
        <w:pStyle w:val="Heading2"/>
        <w:spacing w:after="140" w:before="320"/>
      </w:pPr>
      <w:r>
        <w:rPr>
          <w:b w:val="false"/>
          <w:bCs w:val="false"/>
        </w:rPr>
        <w:t xml:space="preserve">2. Control de recepción de productos</w:t>
      </w:r>
    </w:p>
    <w:p>
      <w:pPr>
        <w:spacing w:after="140"/>
      </w:pPr>
      <w:r>
        <w:rPr>
          <w:b w:val="false"/>
          <w:bCs w:val="false"/>
        </w:rPr>
        <w:t xml:space="preserve">Comprende tres cosas, y las tres se piden por escrito antes de que el material entre en obra:</w:t>
      </w:r>
    </w:p>
    <w:p>
      <w:pPr>
        <w:spacing w:after="60"/>
        <w:ind w:left="340" w:hanging="240"/>
      </w:pPr>
      <w:r>
        <w:rPr>
          <w:b/>
          <w:bCs/>
          <w:color w:val="1D4ED8"/>
        </w:rPr>
        <w:t xml:space="preserve">1. </w:t>
      </w:r>
      <w:r>
        <w:rPr>
          <w:b/>
          <w:bCs/>
        </w:rPr>
        <w:t xml:space="preserve">Documentación de los suministros:</w:t>
      </w:r>
      <w:r>
        <w:rPr>
          <w:b w:val="false"/>
          <w:bCs w:val="false"/>
        </w:rPr>
        <w:t xml:space="preserve"> documentos de origen, hoja de suministro y etiquetado; certificado de garantía del fabricante firmado por persona física; y los documentos de conformidad exigidos reglamentariamente, incluida la documentación del marcado CE.</w:t>
      </w:r>
    </w:p>
    <w:p>
      <w:pPr>
        <w:spacing w:after="60"/>
        <w:ind w:left="340" w:hanging="240"/>
      </w:pPr>
      <w:r>
        <w:rPr>
          <w:b/>
          <w:bCs/>
          <w:color w:val="1D4ED8"/>
        </w:rPr>
        <w:t xml:space="preserve">2. </w:t>
      </w:r>
      <w:r>
        <w:rPr>
          <w:b/>
          <w:bCs/>
        </w:rPr>
        <w:t xml:space="preserve">Distintivos de calidad y evaluaciones técnicas de idoneidad</w:t>
      </w:r>
      <w:r>
        <w:rPr>
          <w:b w:val="false"/>
          <w:bCs w:val="false"/>
        </w:rPr>
        <w:t xml:space="preserve">, cuando el producto los tenga. El director de la ejecución verifica que esa documentación basta para aceptarlo.</w:t>
      </w:r>
    </w:p>
    <w:p>
      <w:pPr>
        <w:spacing w:after="60"/>
        <w:ind w:left="340" w:hanging="240"/>
      </w:pPr>
      <w:r>
        <w:rPr>
          <w:b/>
          <w:bCs/>
          <w:color w:val="1D4ED8"/>
        </w:rPr>
        <w:t xml:space="preserve">3. </w:t>
      </w:r>
      <w:r>
        <w:rPr>
          <w:b/>
          <w:bCs/>
        </w:rPr>
        <w:t xml:space="preserve">Ensayos</w:t>
      </w:r>
      <w:r>
        <w:rPr>
          <w:b w:val="false"/>
          <w:bCs w:val="false"/>
        </w:rPr>
        <w:t xml:space="preserve">, cuando los pida el proyecto, la reglamentación o la dirección facultativa, con el muestreo, los criterios de aceptación y rechazo y las acciones a adoptar que fije el proyecto.</w:t>
      </w:r>
    </w:p>
    <w:p>
      <w:pPr>
        <w:pStyle w:val="Heading2"/>
        <w:spacing w:after="140" w:before="320"/>
      </w:pPr>
      <w:r>
        <w:rPr>
          <w:b w:val="false"/>
          <w:bCs w:val="false"/>
        </w:rPr>
        <w:t xml:space="preserve">3. Control por unidad de obra</w:t>
      </w:r>
    </w:p>
    <w:p>
      <w:pPr>
        <w:pStyle w:val="Heading3"/>
        <w:spacing w:after="140" w:before="320"/>
      </w:pPr>
      <w:r>
        <w:rPr>
          <w:b w:val="false"/>
          <w:bCs w:val="false"/>
        </w:rPr>
        <w:t xml:space="preserve">Hormigón armado en cimentación</w:t>
      </w:r>
    </w:p>
    <w:p>
      <w:pPr>
        <w:spacing w:after="140"/>
      </w:pPr>
      <w:r>
        <w:rPr>
          <w:b/>
          <w:bCs/>
        </w:rPr>
        <w:t xml:space="preserve">Recepción de productos</w:t>
      </w:r>
    </w:p>
    <w:p>
      <w:pPr>
        <w:spacing w:after="60"/>
        <w:ind w:left="340" w:hanging="240"/>
      </w:pPr>
      <w:r>
        <w:rPr>
          <w:b/>
          <w:bCs/>
          <w:color w:val="1D4ED8"/>
        </w:rPr>
        <w:t xml:space="preserve">•	</w:t>
      </w:r>
      <w:r>
        <w:rPr>
          <w:b w:val="false"/>
          <w:bCs w:val="false"/>
        </w:rPr>
        <w:t xml:space="preserve">Hormigón suministrado desde central: hoja de suministro de cada amasada, con designación completa (resistencia, consistencia, tamaño máximo del árido, tipo de ambiente y contenido mínimo de cemento), hora de carga y hora límite de puesta en obra.</w:t>
      </w:r>
    </w:p>
    <w:p>
      <w:pPr>
        <w:spacing w:after="60"/>
        <w:ind w:left="340" w:hanging="240"/>
      </w:pPr>
      <w:r>
        <w:rPr>
          <w:b/>
          <w:bCs/>
          <w:color w:val="1D4ED8"/>
        </w:rPr>
        <w:t xml:space="preserve">•	</w:t>
      </w:r>
      <w:r>
        <w:rPr>
          <w:b w:val="false"/>
          <w:bCs w:val="false"/>
        </w:rPr>
        <w:t xml:space="preserve">Certificado de la central acreditando el control de producción, y distintivo de calidad oficialmente reconocido si el proyecto lo exige para reducir el control.</w:t>
      </w:r>
    </w:p>
    <w:p>
      <w:pPr>
        <w:spacing w:after="60"/>
        <w:ind w:left="340" w:hanging="240"/>
      </w:pPr>
      <w:r>
        <w:rPr>
          <w:b/>
          <w:bCs/>
          <w:color w:val="1D4ED8"/>
        </w:rPr>
        <w:t xml:space="preserve">•	</w:t>
      </w:r>
      <w:r>
        <w:rPr>
          <w:b w:val="false"/>
          <w:bCs w:val="false"/>
        </w:rPr>
        <w:t xml:space="preserve">Acero corrugado: marcado CE y declaración de prestaciones, certificado de garantía del fabricante con la designación del acero y albarán con identificación de colada; comprobación de la marca de laminación en barra.</w:t>
      </w:r>
    </w:p>
    <w:p>
      <w:pPr>
        <w:spacing w:after="60"/>
        <w:ind w:left="340" w:hanging="240"/>
      </w:pPr>
      <w:r>
        <w:rPr>
          <w:b/>
          <w:bCs/>
          <w:color w:val="1D4ED8"/>
        </w:rPr>
        <w:t xml:space="preserve">•	</w:t>
      </w:r>
      <w:r>
        <w:rPr>
          <w:b w:val="false"/>
          <w:bCs w:val="false"/>
        </w:rPr>
        <w:t xml:space="preserve">Armaduras elaboradas fuera de obra: certificado del taller y despiece coincidente con los planos de proyecto.</w:t>
      </w:r>
    </w:p>
    <w:p>
      <w:pPr>
        <w:spacing w:after="60"/>
        <w:ind w:left="340" w:hanging="240"/>
      </w:pPr>
      <w:r>
        <w:rPr>
          <w:b/>
          <w:bCs/>
          <w:color w:val="1D4ED8"/>
        </w:rPr>
        <w:t xml:space="preserve">•	</w:t>
      </w:r>
      <w:r>
        <w:rPr>
          <w:b w:val="false"/>
          <w:bCs w:val="false"/>
        </w:rPr>
        <w:t xml:space="preserve">Separadores, ataduras y elementos auxiliares: ficha técnica del fabricante, con indicación del recubrimiento nominal que garantizan.</w:t>
      </w:r>
    </w:p>
    <w:p>
      <w:pPr>
        <w:spacing w:after="60"/>
        <w:ind w:left="340" w:hanging="240"/>
      </w:pPr>
      <w:r>
        <w:rPr>
          <w:b/>
          <w:bCs/>
          <w:color w:val="1D4ED8"/>
        </w:rPr>
        <w:t xml:space="preserve">•	</w:t>
      </w:r>
      <w:r>
        <w:rPr>
          <w:b w:val="false"/>
          <w:bCs w:val="false"/>
        </w:rPr>
        <w:t xml:space="preserve">Rechazo en descarga de cualquier partida sin documentación completa o con designación distinta a la de proyecto; no se admite hormigón cuya hoja de suministro no coincida con lo pedido ni acero sin identificación de colada.</w:t>
      </w:r>
    </w:p>
    <w:p>
      <w:pPr>
        <w:spacing w:after="140"/>
      </w:pPr>
      <w:r>
        <w:rPr>
          <w:b/>
          <w:bCs/>
        </w:rPr>
        <w:t xml:space="preserve">Control de ejecución</w:t>
      </w:r>
    </w:p>
    <w:p>
      <w:pPr>
        <w:spacing w:after="60"/>
        <w:ind w:left="340" w:hanging="240"/>
      </w:pPr>
      <w:r>
        <w:rPr>
          <w:b/>
          <w:bCs/>
          <w:color w:val="1D4ED8"/>
        </w:rPr>
        <w:t xml:space="preserve">•	</w:t>
      </w:r>
      <w:r>
        <w:rPr>
          <w:b w:val="false"/>
          <w:bCs w:val="false"/>
        </w:rPr>
        <w:t xml:space="preserve">Antes del hormigonado: comprobación de cotas de fondo de excavación, limpieza, ausencia de agua y de material suelto, y correspondencia del terreno de apoyo con el previsto en el estudio geotécnico; conformidad expresa de la dirección facultativa.</w:t>
      </w:r>
    </w:p>
    <w:p>
      <w:pPr>
        <w:spacing w:after="60"/>
        <w:ind w:left="340" w:hanging="240"/>
      </w:pPr>
      <w:r>
        <w:rPr>
          <w:b/>
          <w:bCs/>
          <w:color w:val="1D4ED8"/>
        </w:rPr>
        <w:t xml:space="preserve">•	</w:t>
      </w:r>
      <w:r>
        <w:rPr>
          <w:b w:val="false"/>
          <w:bCs w:val="false"/>
        </w:rPr>
        <w:t xml:space="preserve">Hormigón de limpieza ejecutado y nivelado antes de colocar armaduras.</w:t>
      </w:r>
    </w:p>
    <w:p>
      <w:pPr>
        <w:spacing w:after="60"/>
        <w:ind w:left="340" w:hanging="240"/>
      </w:pPr>
      <w:r>
        <w:rPr>
          <w:b/>
          <w:bCs/>
          <w:color w:val="1D4ED8"/>
        </w:rPr>
        <w:t xml:space="preserve">•	</w:t>
      </w:r>
      <w:r>
        <w:rPr>
          <w:b w:val="false"/>
          <w:bCs w:val="false"/>
        </w:rPr>
        <w:t xml:space="preserve">Armaduras: diámetros, número de barras, separaciones, longitudes de anclaje y solape, y disposición de arranques de pilares y muros, contra planos de despiece; recubrimientos verificados por número y posición de separadores.</w:t>
      </w:r>
    </w:p>
    <w:p>
      <w:pPr>
        <w:spacing w:after="60"/>
        <w:ind w:left="340" w:hanging="240"/>
      </w:pPr>
      <w:r>
        <w:rPr>
          <w:b/>
          <w:bCs/>
          <w:color w:val="1D4ED8"/>
        </w:rPr>
        <w:t xml:space="preserve">•	</w:t>
      </w:r>
      <w:r>
        <w:rPr>
          <w:b w:val="false"/>
          <w:bCs w:val="false"/>
        </w:rPr>
        <w:t xml:space="preserve">Encofrados de zapatas y vigas de atado: dimensiones, aplomado, estanquidad y estabilidad frente a los empujes previstos.</w:t>
      </w:r>
    </w:p>
    <w:p>
      <w:pPr>
        <w:spacing w:after="60"/>
        <w:ind w:left="340" w:hanging="240"/>
      </w:pPr>
      <w:r>
        <w:rPr>
          <w:b/>
          <w:bCs/>
          <w:color w:val="1D4ED8"/>
        </w:rPr>
        <w:t xml:space="preserve">•	</w:t>
      </w:r>
      <w:r>
        <w:rPr>
          <w:b w:val="false"/>
          <w:bCs w:val="false"/>
        </w:rPr>
        <w:t xml:space="preserve">Puesta en obra: control de consistencia mediante ensayo de asiento en cono y toma de probetas para rotura a compresión, con la frecuencia [PENDIENTE: frecuencia según el pliego del proyecto]; comprobación de que no se añade agua en obra y de que se respeta el tiempo máximo desde la carga.</w:t>
      </w:r>
    </w:p>
    <w:p>
      <w:pPr>
        <w:spacing w:after="60"/>
        <w:ind w:left="340" w:hanging="240"/>
      </w:pPr>
      <w:r>
        <w:rPr>
          <w:b/>
          <w:bCs/>
          <w:color w:val="1D4ED8"/>
        </w:rPr>
        <w:t xml:space="preserve">•	</w:t>
      </w:r>
      <w:r>
        <w:rPr>
          <w:b w:val="false"/>
          <w:bCs w:val="false"/>
        </w:rPr>
        <w:t xml:space="preserve">Vertido, vibrado por tongadas, juntas de hormigonado en las posiciones previstas y curado durante el plazo fijado en el pliego, con registro de temperaturas si se hormigona en tiempo frío o caluroso.</w:t>
      </w:r>
    </w:p>
    <w:p>
      <w:pPr>
        <w:spacing w:after="140"/>
      </w:pPr>
      <w:r>
        <w:rPr>
          <w:b/>
          <w:bCs/>
        </w:rPr>
        <w:t xml:space="preserve">Lotes propuestos</w:t>
      </w:r>
    </w:p>
    <w:p>
      <w:pPr>
        <w:spacing w:after="60"/>
        <w:ind w:left="340" w:hanging="240"/>
      </w:pPr>
      <w:r>
        <w:rPr>
          <w:b/>
          <w:bCs/>
          <w:color w:val="1D4ED8"/>
        </w:rPr>
        <w:t xml:space="preserve">•	</w:t>
      </w:r>
      <w:r>
        <w:rPr>
          <w:b w:val="false"/>
          <w:bCs w:val="false"/>
        </w:rPr>
        <w:t xml:space="preserve">Propuesta sujeta a aprobación de la dirección facultativa, que podrá ajustar el tamaño de lote a la vista del ritmo de ejecución.</w:t>
      </w:r>
    </w:p>
    <w:p>
      <w:pPr>
        <w:spacing w:after="60"/>
        <w:ind w:left="340" w:hanging="240"/>
      </w:pPr>
      <w:r>
        <w:rPr>
          <w:b/>
          <w:bCs/>
          <w:color w:val="1D4ED8"/>
        </w:rPr>
        <w:t xml:space="preserve">•	</w:t>
      </w:r>
      <w:r>
        <w:rPr>
          <w:b w:val="false"/>
          <w:bCs w:val="false"/>
        </w:rPr>
        <w:t xml:space="preserve">División de los 180 m³ en lotes por unidad funcional homogénea: zapatas aisladas por un lado, vigas de atado y zunchos de cimentación por otro, sin mezclar tipologías en un mismo lote.</w:t>
      </w:r>
    </w:p>
    <w:p>
      <w:pPr>
        <w:spacing w:after="60"/>
        <w:ind w:left="340" w:hanging="240"/>
      </w:pPr>
      <w:r>
        <w:rPr>
          <w:b/>
          <w:bCs/>
          <w:color w:val="1D4ED8"/>
        </w:rPr>
        <w:t xml:space="preserve">•	</w:t>
      </w:r>
      <w:r>
        <w:rPr>
          <w:b w:val="false"/>
          <w:bCs w:val="false"/>
        </w:rPr>
        <w:t xml:space="preserve">Un lote no abarcará más de una jornada de hormigonado ni hormigón procedente de distintas designaciones.</w:t>
      </w:r>
    </w:p>
    <w:p>
      <w:pPr>
        <w:spacing w:after="60"/>
        <w:ind w:left="340" w:hanging="240"/>
      </w:pPr>
      <w:r>
        <w:rPr>
          <w:b/>
          <w:bCs/>
          <w:color w:val="1D4ED8"/>
        </w:rPr>
        <w:t xml:space="preserve">•	</w:t>
      </w:r>
      <w:r>
        <w:rPr>
          <w:b w:val="false"/>
          <w:bCs w:val="false"/>
        </w:rPr>
        <w:t xml:space="preserve">Cada lote se identificará con acta que recoja los elementos incluidos, las hojas de suministro asociadas y las probetas tomadas.</w:t>
      </w:r>
    </w:p>
    <w:p>
      <w:pPr>
        <w:spacing w:after="60"/>
        <w:ind w:left="340" w:hanging="240"/>
      </w:pPr>
      <w:r>
        <w:rPr>
          <w:b/>
          <w:bCs/>
          <w:color w:val="1D4ED8"/>
        </w:rPr>
        <w:t xml:space="preserve">•	</w:t>
      </w:r>
      <w:r>
        <w:rPr>
          <w:b w:val="false"/>
          <w:bCs w:val="false"/>
        </w:rPr>
        <w:t xml:space="preserve">El tamaño máximo de lote en m³ y el número de amasadas controladas por lote: [PENDIENTE: frecuencia según el pliego del proyecto].</w:t>
      </w:r>
    </w:p>
    <w:p>
      <w:pPr>
        <w:spacing w:after="140"/>
      </w:pPr>
      <w:r>
        <w:rPr>
          <w:b/>
          <w:bCs/>
        </w:rPr>
        <w:t xml:space="preserve">Criterio de no conformidad</w:t>
      </w:r>
    </w:p>
    <w:p>
      <w:pPr>
        <w:spacing w:after="60"/>
        <w:ind w:left="340" w:hanging="240"/>
      </w:pPr>
      <w:r>
        <w:rPr>
          <w:b/>
          <w:bCs/>
          <w:color w:val="1D4ED8"/>
        </w:rPr>
        <w:t xml:space="preserve">•	</w:t>
      </w:r>
      <w:r>
        <w:rPr>
          <w:b w:val="false"/>
          <w:bCs w:val="false"/>
        </w:rPr>
        <w:t xml:space="preserve">Apertura de parte de no conformidad con identificación del lote afectado, suspensión del hormigonado de ese elemento y comunicación inmediata a la dirección facultativa.</w:t>
      </w:r>
    </w:p>
    <w:p>
      <w:pPr>
        <w:spacing w:after="60"/>
        <w:ind w:left="340" w:hanging="240"/>
      </w:pPr>
      <w:r>
        <w:rPr>
          <w:b/>
          <w:bCs/>
          <w:color w:val="1D4ED8"/>
        </w:rPr>
        <w:t xml:space="preserve">•	</w:t>
      </w:r>
      <w:r>
        <w:rPr>
          <w:b w:val="false"/>
          <w:bCs w:val="false"/>
        </w:rPr>
        <w:t xml:space="preserve">Resultados de resistencia por debajo de lo exigido: estudio del lote mediante ensayos de información complementaria (extracción de testigos o ensayos no destructivos) y, en su caso, comprobación analítica de la seguridad del elemento con la resistencia realmente obtenida.</w:t>
      </w:r>
    </w:p>
    <w:p>
      <w:pPr>
        <w:spacing w:after="60"/>
        <w:ind w:left="340" w:hanging="240"/>
      </w:pPr>
      <w:r>
        <w:rPr>
          <w:b/>
          <w:bCs/>
          <w:color w:val="1D4ED8"/>
        </w:rPr>
        <w:t xml:space="preserve">•	</w:t>
      </w:r>
      <w:r>
        <w:rPr>
          <w:b w:val="false"/>
          <w:bCs w:val="false"/>
        </w:rPr>
        <w:t xml:space="preserve">Defectos de armado, recubrimiento insuficiente o posición incorrecta detectados antes del hormigonado: corrección y nueva comprobación previa a la autorización de vertido.</w:t>
      </w:r>
    </w:p>
    <w:p>
      <w:pPr>
        <w:spacing w:after="60"/>
        <w:ind w:left="340" w:hanging="240"/>
      </w:pPr>
      <w:r>
        <w:rPr>
          <w:b/>
          <w:bCs/>
          <w:color w:val="1D4ED8"/>
        </w:rPr>
        <w:t xml:space="preserve">•	</w:t>
      </w:r>
      <w:r>
        <w:rPr>
          <w:b w:val="false"/>
          <w:bCs w:val="false"/>
        </w:rPr>
        <w:t xml:space="preserve">Coqueras, segregaciones o desviaciones geométricas fuera de tolerancia: propuesta de reparación por el constructor, con procedimiento y materiales aprobados por la dirección facultativa, y verificación posterior.</w:t>
      </w:r>
    </w:p>
    <w:p>
      <w:pPr>
        <w:spacing w:after="60"/>
        <w:ind w:left="340" w:hanging="240"/>
      </w:pPr>
      <w:r>
        <w:rPr>
          <w:b/>
          <w:bCs/>
          <w:color w:val="1D4ED8"/>
        </w:rPr>
        <w:t xml:space="preserve">•	</w:t>
      </w:r>
      <w:r>
        <w:rPr>
          <w:b w:val="false"/>
          <w:bCs w:val="false"/>
        </w:rPr>
        <w:t xml:space="preserve">Si el estudio confirma que el elemento no alcanza las prestaciones exigidas, demolición y reejecución a cargo del constructor, o refuerzo según proyecto de intervención redactado al efecto.</w:t>
      </w:r>
    </w:p>
    <w:p>
      <w:pPr>
        <w:spacing w:after="60"/>
        <w:ind w:left="340" w:hanging="240"/>
      </w:pPr>
      <w:r>
        <w:rPr>
          <w:b/>
          <w:bCs/>
          <w:color w:val="1D4ED8"/>
        </w:rPr>
        <w:t xml:space="preserve">•	</w:t>
      </w:r>
      <w:r>
        <w:rPr>
          <w:b w:val="false"/>
          <w:bCs w:val="false"/>
        </w:rPr>
        <w:t xml:space="preserve">Toda no conformidad y su resolución quedan incorporadas a la documentación del control de calidad de la obra.</w:t>
      </w:r>
    </w:p>
    <w:p>
      <w:pPr>
        <w:pStyle w:val="Heading3"/>
        <w:spacing w:after="140" w:before="320"/>
      </w:pPr>
      <w:r>
        <w:rPr>
          <w:b w:val="false"/>
          <w:bCs w:val="false"/>
        </w:rPr>
        <w:t xml:space="preserve">Hormigón armado en estructura</w:t>
      </w:r>
    </w:p>
    <w:p>
      <w:pPr>
        <w:spacing w:after="140"/>
      </w:pPr>
      <w:r>
        <w:rPr>
          <w:b/>
          <w:bCs/>
        </w:rPr>
        <w:t xml:space="preserve">Recepción de productos</w:t>
      </w:r>
    </w:p>
    <w:p>
      <w:pPr>
        <w:spacing w:after="60"/>
        <w:ind w:left="340" w:hanging="240"/>
      </w:pPr>
      <w:r>
        <w:rPr>
          <w:b/>
          <w:bCs/>
          <w:color w:val="1D4ED8"/>
        </w:rPr>
        <w:t xml:space="preserve">•	</w:t>
      </w:r>
      <w:r>
        <w:rPr>
          <w:b w:val="false"/>
          <w:bCs w:val="false"/>
        </w:rPr>
        <w:t xml:space="preserve">Hormigón: hoja de suministro por amasada con designación completa (resistencia, consistencia, tamaño máximo del árido, tipo de ambiente), hora de carga y de llegada, y aditivos incorporados. Se rechaza la amasada sin albarán conforme o con adiciones de agua en obra no autorizadas.</w:t>
      </w:r>
    </w:p>
    <w:p>
      <w:pPr>
        <w:spacing w:after="60"/>
        <w:ind w:left="340" w:hanging="240"/>
      </w:pPr>
      <w:r>
        <w:rPr>
          <w:b/>
          <w:bCs/>
          <w:color w:val="1D4ED8"/>
        </w:rPr>
        <w:t xml:space="preserve">•	</w:t>
      </w:r>
      <w:r>
        <w:rPr>
          <w:b w:val="false"/>
          <w:bCs w:val="false"/>
        </w:rPr>
        <w:t xml:space="preserve">Central de hormigón preparado: distintivo de calidad oficialmente reconocido si lo hubiera, y documentación de dosificaciones para cada tipología prevista en proyecto.</w:t>
      </w:r>
    </w:p>
    <w:p>
      <w:pPr>
        <w:spacing w:after="60"/>
        <w:ind w:left="340" w:hanging="240"/>
      </w:pPr>
      <w:r>
        <w:rPr>
          <w:b/>
          <w:bCs/>
          <w:color w:val="1D4ED8"/>
        </w:rPr>
        <w:t xml:space="preserve">•	</w:t>
      </w:r>
      <w:r>
        <w:rPr>
          <w:b w:val="false"/>
          <w:bCs w:val="false"/>
        </w:rPr>
        <w:t xml:space="preserve">Acero corrugado: marcado CE o certificado de producto, certificados de ensayo del fabricante por partida y colada, y documentación de trazabilidad hasta el rollo o barra. Etiquetado identificable en obra.</w:t>
      </w:r>
    </w:p>
    <w:p>
      <w:pPr>
        <w:spacing w:after="60"/>
        <w:ind w:left="340" w:hanging="240"/>
      </w:pPr>
      <w:r>
        <w:rPr>
          <w:b/>
          <w:bCs/>
          <w:color w:val="1D4ED8"/>
        </w:rPr>
        <w:t xml:space="preserve">•	</w:t>
      </w:r>
      <w:r>
        <w:rPr>
          <w:b w:val="false"/>
          <w:bCs w:val="false"/>
        </w:rPr>
        <w:t xml:space="preserve">Ferralla armada en taller: certificado del taller, planos de despiece aprobados y declaración de que los procesos de enderezado, doblado y soldadura son los cualificados.</w:t>
      </w:r>
    </w:p>
    <w:p>
      <w:pPr>
        <w:spacing w:after="60"/>
        <w:ind w:left="340" w:hanging="240"/>
      </w:pPr>
      <w:r>
        <w:rPr>
          <w:b/>
          <w:bCs/>
          <w:color w:val="1D4ED8"/>
        </w:rPr>
        <w:t xml:space="preserve">•	</w:t>
      </w:r>
      <w:r>
        <w:rPr>
          <w:b w:val="false"/>
          <w:bCs w:val="false"/>
        </w:rPr>
        <w:t xml:space="preserve">Separadores, atado, encofrados y desencofrantes: ficha técnica, compatibilidad con el hormigón visto y con el recubrimiento nominal exigido.</w:t>
      </w:r>
    </w:p>
    <w:p>
      <w:pPr>
        <w:spacing w:after="60"/>
        <w:ind w:left="340" w:hanging="240"/>
      </w:pPr>
      <w:r>
        <w:rPr>
          <w:b/>
          <w:bCs/>
          <w:color w:val="1D4ED8"/>
        </w:rPr>
        <w:t xml:space="preserve">•	</w:t>
      </w:r>
      <w:r>
        <w:rPr>
          <w:b w:val="false"/>
          <w:bCs w:val="false"/>
        </w:rPr>
        <w:t xml:space="preserve">Se abre archivo de recepción por elemento estructural (cimentación, muros, pilares, forjados) antes del primer hormigonado.</w:t>
      </w:r>
    </w:p>
    <w:p>
      <w:pPr>
        <w:spacing w:after="140"/>
      </w:pPr>
      <w:r>
        <w:rPr>
          <w:b/>
          <w:bCs/>
        </w:rPr>
        <w:t xml:space="preserve">Control de ejecución</w:t>
      </w:r>
    </w:p>
    <w:p>
      <w:pPr>
        <w:spacing w:after="60"/>
        <w:ind w:left="340" w:hanging="240"/>
      </w:pPr>
      <w:r>
        <w:rPr>
          <w:b/>
          <w:bCs/>
          <w:color w:val="1D4ED8"/>
        </w:rPr>
        <w:t xml:space="preserve">•	</w:t>
      </w:r>
      <w:r>
        <w:rPr>
          <w:b w:val="false"/>
          <w:bCs w:val="false"/>
        </w:rPr>
        <w:t xml:space="preserve">Replanteo, geometría y aplomado de encofrados contra planos de estructura; estanqueidad de juntas, limpieza del fondo y aplicación de desencofrante antes del montaje de armadura.</w:t>
      </w:r>
    </w:p>
    <w:p>
      <w:pPr>
        <w:spacing w:after="60"/>
        <w:ind w:left="340" w:hanging="240"/>
      </w:pPr>
      <w:r>
        <w:rPr>
          <w:b/>
          <w:bCs/>
          <w:color w:val="1D4ED8"/>
        </w:rPr>
        <w:t xml:space="preserve">•	</w:t>
      </w:r>
      <w:r>
        <w:rPr>
          <w:b w:val="false"/>
          <w:bCs w:val="false"/>
        </w:rPr>
        <w:t xml:space="preserve">Armaduras: diámetros, número, separación, longitudes de anclaje y solape, disposición de cercos en zonas de nudo y en cabezas de pilar, todo contrastado con los planos de despiece. Comprobación de recubrimientos mediante separadores del canto especificado.</w:t>
      </w:r>
    </w:p>
    <w:p>
      <w:pPr>
        <w:spacing w:after="60"/>
        <w:ind w:left="340" w:hanging="240"/>
      </w:pPr>
      <w:r>
        <w:rPr>
          <w:b/>
          <w:bCs/>
          <w:color w:val="1D4ED8"/>
        </w:rPr>
        <w:t xml:space="preserve">•	</w:t>
      </w:r>
      <w:r>
        <w:rPr>
          <w:b w:val="false"/>
          <w:bCs w:val="false"/>
        </w:rPr>
        <w:t xml:space="preserve">Paso de instalaciones, huecos y negativos: posición y refuerzos perimetrales autorizados por la dirección facultativa antes de hormigonar. No se admiten taladros ni huecos abiertos a posteriori sin cálculo.</w:t>
      </w:r>
    </w:p>
    <w:p>
      <w:pPr>
        <w:spacing w:after="60"/>
        <w:ind w:left="340" w:hanging="240"/>
      </w:pPr>
      <w:r>
        <w:rPr>
          <w:b/>
          <w:bCs/>
          <w:color w:val="1D4ED8"/>
        </w:rPr>
        <w:t xml:space="preserve">•	</w:t>
      </w:r>
      <w:r>
        <w:rPr>
          <w:b w:val="false"/>
          <w:bCs w:val="false"/>
        </w:rPr>
        <w:t xml:space="preserve">Puesta en obra: consistencia mediante cono en el punto de vertido, altura de vertido, vibrado por tongadas sin segregación, y continuidad entre amasadas. Registro de temperatura ambiente y medidas adoptadas en tiempo frío o caluroso.</w:t>
      </w:r>
    </w:p>
    <w:p>
      <w:pPr>
        <w:spacing w:after="60"/>
        <w:ind w:left="340" w:hanging="240"/>
      </w:pPr>
      <w:r>
        <w:rPr>
          <w:b/>
          <w:bCs/>
          <w:color w:val="1D4ED8"/>
        </w:rPr>
        <w:t xml:space="preserve">•	</w:t>
      </w:r>
      <w:r>
        <w:rPr>
          <w:b w:val="false"/>
          <w:bCs w:val="false"/>
        </w:rPr>
        <w:t xml:space="preserve">Juntas de hormigonado en la posición prevista en proyecto, con superficie limpia y rugosa; juntas no previstas requieren autorización expresa.</w:t>
      </w:r>
    </w:p>
    <w:p>
      <w:pPr>
        <w:spacing w:after="60"/>
        <w:ind w:left="340" w:hanging="240"/>
      </w:pPr>
      <w:r>
        <w:rPr>
          <w:b/>
          <w:bCs/>
          <w:color w:val="1D4ED8"/>
        </w:rPr>
        <w:t xml:space="preserve">•	</w:t>
      </w:r>
      <w:r>
        <w:rPr>
          <w:b w:val="false"/>
          <w:bCs w:val="false"/>
        </w:rPr>
        <w:t xml:space="preserve">Curado y plazos de desencofrado y descimbrado según la resistencia alcanzada, no según calendario; apeos de plantas inferiores mantenidos hasta autorización. Acta de cada hormigonado firmada.</w:t>
      </w:r>
    </w:p>
    <w:p>
      <w:pPr>
        <w:spacing w:after="60"/>
        <w:ind w:left="340" w:hanging="240"/>
      </w:pPr>
      <w:r>
        <w:rPr>
          <w:b/>
          <w:bCs/>
          <w:color w:val="1D4ED8"/>
        </w:rPr>
        <w:t xml:space="preserve">•	</w:t>
      </w:r>
      <w:r>
        <w:rPr>
          <w:b w:val="false"/>
          <w:bCs w:val="false"/>
        </w:rPr>
        <w:t xml:space="preserve">Acabado: planeidad, aristas, coqueras y recubrimientos vistos comprobados tras el desencofrado.</w:t>
      </w:r>
    </w:p>
    <w:p>
      <w:pPr>
        <w:spacing w:after="140"/>
      </w:pPr>
      <w:r>
        <w:rPr>
          <w:b/>
          <w:bCs/>
        </w:rPr>
        <w:t xml:space="preserve">Lotes propuestos</w:t>
      </w:r>
    </w:p>
    <w:p>
      <w:pPr>
        <w:spacing w:after="60"/>
        <w:ind w:left="340" w:hanging="240"/>
      </w:pPr>
      <w:r>
        <w:rPr>
          <w:b/>
          <w:bCs/>
          <w:color w:val="1D4ED8"/>
        </w:rPr>
        <w:t xml:space="preserve">•	</w:t>
      </w:r>
      <w:r>
        <w:rPr>
          <w:b w:val="false"/>
          <w:bCs w:val="false"/>
        </w:rPr>
        <w:t xml:space="preserve">Propuesta sometida a aprobación de la dirección facultativa, que puede modificar el número y alcance de los lotes.</w:t>
      </w:r>
    </w:p>
    <w:p>
      <w:pPr>
        <w:spacing w:after="60"/>
        <w:ind w:left="340" w:hanging="240"/>
      </w:pPr>
      <w:r>
        <w:rPr>
          <w:b/>
          <w:bCs/>
          <w:color w:val="1D4ED8"/>
        </w:rPr>
        <w:t xml:space="preserve">•	</w:t>
      </w:r>
      <w:r>
        <w:rPr>
          <w:b w:val="false"/>
          <w:bCs w:val="false"/>
        </w:rPr>
        <w:t xml:space="preserve">Lote independiente para cimentación y muros de sótano, separado de la estructura sobre rasante.</w:t>
      </w:r>
    </w:p>
    <w:p>
      <w:pPr>
        <w:spacing w:after="60"/>
        <w:ind w:left="340" w:hanging="240"/>
      </w:pPr>
      <w:r>
        <w:rPr>
          <w:b/>
          <w:bCs/>
          <w:color w:val="1D4ED8"/>
        </w:rPr>
        <w:t xml:space="preserve">•	</w:t>
      </w:r>
      <w:r>
        <w:rPr>
          <w:b w:val="false"/>
          <w:bCs w:val="false"/>
        </w:rPr>
        <w:t xml:space="preserve">En estructura sobre rasante, lotificación por planta y, dentro de cada planta, separando elementos verticales (pilares y muros) de elementos horizontales (forjados y vigas), por su distinto régimen de solicitación.</w:t>
      </w:r>
    </w:p>
    <w:p>
      <w:pPr>
        <w:spacing w:after="60"/>
        <w:ind w:left="340" w:hanging="240"/>
      </w:pPr>
      <w:r>
        <w:rPr>
          <w:b/>
          <w:bCs/>
          <w:color w:val="1D4ED8"/>
        </w:rPr>
        <w:t xml:space="preserve">•	</w:t>
      </w:r>
      <w:r>
        <w:rPr>
          <w:b w:val="false"/>
          <w:bCs w:val="false"/>
        </w:rPr>
        <w:t xml:space="preserve">Cada tipología distinta de hormigón (resistencia, ambiente o consistencia) constituye lote propio, sin mezclar designaciones en un mismo lote.</w:t>
      </w:r>
    </w:p>
    <w:p>
      <w:pPr>
        <w:spacing w:after="60"/>
        <w:ind w:left="340" w:hanging="240"/>
      </w:pPr>
      <w:r>
        <w:rPr>
          <w:b/>
          <w:bCs/>
          <w:color w:val="1D4ED8"/>
        </w:rPr>
        <w:t xml:space="preserve">•	</w:t>
      </w:r>
      <w:r>
        <w:rPr>
          <w:b w:val="false"/>
          <w:bCs w:val="false"/>
        </w:rPr>
        <w:t xml:space="preserve">Frecuencia de muestreo, número de amasadas controladas y número de probetas por amasada: [PENDIENTE: frecuencia según el pliego del proyecto].</w:t>
      </w:r>
    </w:p>
    <w:p>
      <w:pPr>
        <w:spacing w:after="60"/>
        <w:ind w:left="340" w:hanging="240"/>
      </w:pPr>
      <w:r>
        <w:rPr>
          <w:b/>
          <w:bCs/>
          <w:color w:val="1D4ED8"/>
        </w:rPr>
        <w:t xml:space="preserve">•	</w:t>
      </w:r>
      <w:r>
        <w:rPr>
          <w:b w:val="false"/>
          <w:bCs w:val="false"/>
        </w:rPr>
        <w:t xml:space="preserve">Control de armaduras por partida y colada recibida, con lote diferenciado para la ferralla elaborada en taller: [PENDIENTE: frecuencia según el pliego del proyecto].</w:t>
      </w:r>
    </w:p>
    <w:p>
      <w:pPr>
        <w:spacing w:after="140"/>
      </w:pPr>
      <w:r>
        <w:rPr>
          <w:b/>
          <w:bCs/>
        </w:rPr>
        <w:t xml:space="preserve">Criterio de no conformidad</w:t>
      </w:r>
    </w:p>
    <w:p>
      <w:pPr>
        <w:spacing w:after="60"/>
        <w:ind w:left="340" w:hanging="240"/>
      </w:pPr>
      <w:r>
        <w:rPr>
          <w:b/>
          <w:bCs/>
          <w:color w:val="1D4ED8"/>
        </w:rPr>
        <w:t xml:space="preserve">•	</w:t>
      </w:r>
      <w:r>
        <w:rPr>
          <w:b w:val="false"/>
          <w:bCs w:val="false"/>
        </w:rPr>
        <w:t xml:space="preserve">Amasada con hoja de suministro incompleta, designación distinta a la de proyecto o consistencia fuera de tolerancia: rechazo en obra y devolución, sin descarga.</w:t>
      </w:r>
    </w:p>
    <w:p>
      <w:pPr>
        <w:spacing w:after="60"/>
        <w:ind w:left="340" w:hanging="240"/>
      </w:pPr>
      <w:r>
        <w:rPr>
          <w:b/>
          <w:bCs/>
          <w:color w:val="1D4ED8"/>
        </w:rPr>
        <w:t xml:space="preserve">•	</w:t>
      </w:r>
      <w:r>
        <w:rPr>
          <w:b w:val="false"/>
          <w:bCs w:val="false"/>
        </w:rPr>
        <w:t xml:space="preserve">Resultado de rotura de probetas por debajo de lo exigido: se paraliza el hormigonado de elementos análogos, se identifica el elemento afectado y se abre expediente con ensayos de información complementarios (probetas testigo, ensayos no destructivos) a cargo del contratista.</w:t>
      </w:r>
    </w:p>
    <w:p>
      <w:pPr>
        <w:spacing w:after="60"/>
        <w:ind w:left="340" w:hanging="240"/>
      </w:pPr>
      <w:r>
        <w:rPr>
          <w:b/>
          <w:bCs/>
          <w:color w:val="1D4ED8"/>
        </w:rPr>
        <w:t xml:space="preserve">•	</w:t>
      </w:r>
      <w:r>
        <w:rPr>
          <w:b w:val="false"/>
          <w:bCs w:val="false"/>
        </w:rPr>
        <w:t xml:space="preserve">Defecto de recubrimiento, armadura faltante o solapes incorrectos detectados antes de hormigonar: corrección inmediata y nueva inspección; no se autoriza el vertido hasta el visto bueno escrito.</w:t>
      </w:r>
    </w:p>
    <w:p>
      <w:pPr>
        <w:spacing w:after="60"/>
        <w:ind w:left="340" w:hanging="240"/>
      </w:pPr>
      <w:r>
        <w:rPr>
          <w:b/>
          <w:bCs/>
          <w:color w:val="1D4ED8"/>
        </w:rPr>
        <w:t xml:space="preserve">•	</w:t>
      </w:r>
      <w:r>
        <w:rPr>
          <w:b w:val="false"/>
          <w:bCs w:val="false"/>
        </w:rPr>
        <w:t xml:space="preserve">Defecto detectado tras el desencofrado (coqueras, armadura vista, desviación geométrica fuera de tolerancia): propuesta de reparación redactada por el contratista, con procedimiento y materiales, que debe aprobar la dirección facultativa antes de ejecutarse.</w:t>
      </w:r>
    </w:p>
    <w:p>
      <w:pPr>
        <w:spacing w:after="60"/>
        <w:ind w:left="340" w:hanging="240"/>
      </w:pPr>
      <w:r>
        <w:rPr>
          <w:b/>
          <w:bCs/>
          <w:color w:val="1D4ED8"/>
        </w:rPr>
        <w:t xml:space="preserve">•	</w:t>
      </w:r>
      <w:r>
        <w:rPr>
          <w:b w:val="false"/>
          <w:bCs w:val="false"/>
        </w:rPr>
        <w:t xml:space="preserve">Si el expediente concluye insuficiencia estructural, la dirección facultativa decide entre refuerzo, limitación de uso o demolición y rehormigonado del elemento, con nuevo control completo del elemento rehecho.</w:t>
      </w:r>
    </w:p>
    <w:p>
      <w:pPr>
        <w:spacing w:after="60"/>
        <w:ind w:left="340" w:hanging="240"/>
      </w:pPr>
      <w:r>
        <w:rPr>
          <w:b/>
          <w:bCs/>
          <w:color w:val="1D4ED8"/>
        </w:rPr>
        <w:t xml:space="preserve">•	</w:t>
      </w:r>
      <w:r>
        <w:rPr>
          <w:b w:val="false"/>
          <w:bCs w:val="false"/>
        </w:rPr>
        <w:t xml:space="preserve">Toda no conformidad se registra con fecha, elemento afectado, causa, medida adoptada y verificación del cierre; el libro de órdenes recoge la decisión.</w:t>
      </w:r>
    </w:p>
    <w:p>
      <w:pPr>
        <w:pStyle w:val="Heading3"/>
        <w:spacing w:after="140" w:before="320"/>
      </w:pPr>
      <w:r>
        <w:rPr>
          <w:b w:val="false"/>
          <w:bCs w:val="false"/>
        </w:rPr>
        <w:t xml:space="preserve">Acero corrugado B500S</w:t>
      </w:r>
    </w:p>
    <w:p>
      <w:pPr>
        <w:spacing w:after="140"/>
      </w:pPr>
      <w:r>
        <w:rPr>
          <w:b/>
          <w:bCs/>
        </w:rPr>
        <w:t xml:space="preserve">Recepción de productos</w:t>
      </w:r>
    </w:p>
    <w:p>
      <w:pPr>
        <w:spacing w:after="60"/>
        <w:ind w:left="340" w:hanging="240"/>
      </w:pPr>
      <w:r>
        <w:rPr>
          <w:b/>
          <w:bCs/>
          <w:color w:val="1D4ED8"/>
        </w:rPr>
        <w:t xml:space="preserve">•	</w:t>
      </w:r>
      <w:r>
        <w:rPr>
          <w:b w:val="false"/>
          <w:bCs w:val="false"/>
        </w:rPr>
        <w:t xml:space="preserve">Declaración de prestaciones y marcado CE del acero, o en su defecto documentación acreditativa equivalente del producto y de su fabricante.</w:t>
      </w:r>
    </w:p>
    <w:p>
      <w:pPr>
        <w:spacing w:after="60"/>
        <w:ind w:left="340" w:hanging="240"/>
      </w:pPr>
      <w:r>
        <w:rPr>
          <w:b/>
          <w:bCs/>
          <w:color w:val="1D4ED8"/>
        </w:rPr>
        <w:t xml:space="preserve">•	</w:t>
      </w:r>
      <w:r>
        <w:rPr>
          <w:b w:val="false"/>
          <w:bCs w:val="false"/>
        </w:rPr>
        <w:t xml:space="preserve">Certificado de garantía del fabricante en el que consten la designación B500S, los límites de composición y las características mecánicas garantizadas.</w:t>
      </w:r>
    </w:p>
    <w:p>
      <w:pPr>
        <w:spacing w:after="60"/>
        <w:ind w:left="340" w:hanging="240"/>
      </w:pPr>
      <w:r>
        <w:rPr>
          <w:b/>
          <w:bCs/>
          <w:color w:val="1D4ED8"/>
        </w:rPr>
        <w:t xml:space="preserve">•	</w:t>
      </w:r>
      <w:r>
        <w:rPr>
          <w:b w:val="false"/>
          <w:bCs w:val="false"/>
        </w:rPr>
        <w:t xml:space="preserve">Documentación del distintivo de calidad voluntario, si el acero lo tiene reconocido oficialmente, con su vigencia en la fecha de suministro.</w:t>
      </w:r>
    </w:p>
    <w:p>
      <w:pPr>
        <w:spacing w:after="60"/>
        <w:ind w:left="340" w:hanging="240"/>
      </w:pPr>
      <w:r>
        <w:rPr>
          <w:b/>
          <w:bCs/>
          <w:color w:val="1D4ED8"/>
        </w:rPr>
        <w:t xml:space="preserve">•	</w:t>
      </w:r>
      <w:r>
        <w:rPr>
          <w:b w:val="false"/>
          <w:bCs w:val="false"/>
        </w:rPr>
        <w:t xml:space="preserve">Hojas de suministro de cada entrega: fabricante, designación, diámetros, número de colada o partida, cantidad y referencia de obra.</w:t>
      </w:r>
    </w:p>
    <w:p>
      <w:pPr>
        <w:spacing w:after="60"/>
        <w:ind w:left="340" w:hanging="240"/>
      </w:pPr>
      <w:r>
        <w:rPr>
          <w:b/>
          <w:bCs/>
          <w:color w:val="1D4ED8"/>
        </w:rPr>
        <w:t xml:space="preserve">•	</w:t>
      </w:r>
      <w:r>
        <w:rPr>
          <w:b w:val="false"/>
          <w:bCs w:val="false"/>
        </w:rPr>
        <w:t xml:space="preserve">Certificado de homologación de las soldaduras y del proceso, si hay armaduras soldadas o empalmes por soldadura.</w:t>
      </w:r>
    </w:p>
    <w:p>
      <w:pPr>
        <w:spacing w:after="60"/>
        <w:ind w:left="340" w:hanging="240"/>
      </w:pPr>
      <w:r>
        <w:rPr>
          <w:b/>
          <w:bCs/>
          <w:color w:val="1D4ED8"/>
        </w:rPr>
        <w:t xml:space="preserve">•	</w:t>
      </w:r>
      <w:r>
        <w:rPr>
          <w:b w:val="false"/>
          <w:bCs w:val="false"/>
        </w:rPr>
        <w:t xml:space="preserve">Para armadura elaborada o ferralla armada fuera de obra, identificación del taller y documentación de trazabilidad de los aceros empleados; se rechaza el suministro sin identificación de colada.</w:t>
      </w:r>
    </w:p>
    <w:p>
      <w:pPr>
        <w:spacing w:after="140"/>
      </w:pPr>
      <w:r>
        <w:rPr>
          <w:b/>
          <w:bCs/>
        </w:rPr>
        <w:t xml:space="preserve">Control de ejecución</w:t>
      </w:r>
    </w:p>
    <w:p>
      <w:pPr>
        <w:spacing w:after="60"/>
        <w:ind w:left="340" w:hanging="240"/>
      </w:pPr>
      <w:r>
        <w:rPr>
          <w:b/>
          <w:bCs/>
          <w:color w:val="1D4ED8"/>
        </w:rPr>
        <w:t xml:space="preserve">•	</w:t>
      </w:r>
      <w:r>
        <w:rPr>
          <w:b w:val="false"/>
          <w:bCs w:val="false"/>
        </w:rPr>
        <w:t xml:space="preserve">Identificación en obra de cada partida: diámetros, marcas de laminación y correspondencia con la hoja de suministro y con el despiece del proyecto.</w:t>
      </w:r>
    </w:p>
    <w:p>
      <w:pPr>
        <w:spacing w:after="60"/>
        <w:ind w:left="340" w:hanging="240"/>
      </w:pPr>
      <w:r>
        <w:rPr>
          <w:b/>
          <w:bCs/>
          <w:color w:val="1D4ED8"/>
        </w:rPr>
        <w:t xml:space="preserve">•	</w:t>
      </w:r>
      <w:r>
        <w:rPr>
          <w:b w:val="false"/>
          <w:bCs w:val="false"/>
        </w:rPr>
        <w:t xml:space="preserve">Estado superficial de las barras antes del montaje: ausencia de grasas, pinturas, barro, óxido no adherente y de daños por manipulación; comprobación de acopio separado del suelo y por diámetros.</w:t>
      </w:r>
    </w:p>
    <w:p>
      <w:pPr>
        <w:spacing w:after="60"/>
        <w:ind w:left="340" w:hanging="240"/>
      </w:pPr>
      <w:r>
        <w:rPr>
          <w:b/>
          <w:bCs/>
          <w:color w:val="1D4ED8"/>
        </w:rPr>
        <w:t xml:space="preserve">•	</w:t>
      </w:r>
      <w:r>
        <w:rPr>
          <w:b w:val="false"/>
          <w:bCs w:val="false"/>
        </w:rPr>
        <w:t xml:space="preserve">Comprobación geométrica de la ferralla montada contra los planos de armado: número, diámetro, posición y separación de barras, longitudes de anclaje y solape, disposición de cercos y estribos y de armadura de refuerzo en huecos y esperas.</w:t>
      </w:r>
    </w:p>
    <w:p>
      <w:pPr>
        <w:spacing w:after="60"/>
        <w:ind w:left="340" w:hanging="240"/>
      </w:pPr>
      <w:r>
        <w:rPr>
          <w:b/>
          <w:bCs/>
          <w:color w:val="1D4ED8"/>
        </w:rPr>
        <w:t xml:space="preserve">•	</w:t>
      </w:r>
      <w:r>
        <w:rPr>
          <w:b w:val="false"/>
          <w:bCs w:val="false"/>
        </w:rPr>
        <w:t xml:space="preserve">Diámetros de doblado, forma de patillas y ganchos, y ausencia de doblado y desdoblado en obra no previsto en proyecto.</w:t>
      </w:r>
    </w:p>
    <w:p>
      <w:pPr>
        <w:spacing w:after="60"/>
        <w:ind w:left="340" w:hanging="240"/>
      </w:pPr>
      <w:r>
        <w:rPr>
          <w:b/>
          <w:bCs/>
          <w:color w:val="1D4ED8"/>
        </w:rPr>
        <w:t xml:space="preserve">•	</w:t>
      </w:r>
      <w:r>
        <w:rPr>
          <w:b w:val="false"/>
          <w:bCs w:val="false"/>
        </w:rPr>
        <w:t xml:space="preserve">Recubrimientos: tipo, número y fijación de separadores, y su suficiencia para mantener el recubrimiento nominal durante el hormigonado, incluida la cara superior de losas.</w:t>
      </w:r>
    </w:p>
    <w:p>
      <w:pPr>
        <w:spacing w:after="60"/>
        <w:ind w:left="340" w:hanging="240"/>
      </w:pPr>
      <w:r>
        <w:rPr>
          <w:b/>
          <w:bCs/>
          <w:color w:val="1D4ED8"/>
        </w:rPr>
        <w:t xml:space="preserve">•	</w:t>
      </w:r>
      <w:r>
        <w:rPr>
          <w:b w:val="false"/>
          <w:bCs w:val="false"/>
        </w:rPr>
        <w:t xml:space="preserve">Estabilidad y atado del conjunto antes de hormigonar, y limpieza de las esperas y juntas de trabajo. Ensayos de características mecánicas y geométricas sobre muestras tomadas en obra con la frecuencia siguiente: [PENDIENTE: frecuencia según el pliego del proyecto].</w:t>
      </w:r>
    </w:p>
    <w:p>
      <w:pPr>
        <w:spacing w:after="140"/>
      </w:pPr>
      <w:r>
        <w:rPr>
          <w:b/>
          <w:bCs/>
        </w:rPr>
        <w:t xml:space="preserve">Lotes propuestos</w:t>
      </w:r>
    </w:p>
    <w:p>
      <w:pPr>
        <w:spacing w:after="60"/>
        <w:ind w:left="340" w:hanging="240"/>
      </w:pPr>
      <w:r>
        <w:rPr>
          <w:b/>
          <w:bCs/>
          <w:color w:val="1D4ED8"/>
        </w:rPr>
        <w:t xml:space="preserve">•	</w:t>
      </w:r>
      <w:r>
        <w:rPr>
          <w:b w:val="false"/>
          <w:bCs w:val="false"/>
        </w:rPr>
        <w:t xml:space="preserve">Propuesta a aprobar por la dirección facultativa. Se plantean lotes independientes por cada fabricante, designación y serie de diámetros suministrada.</w:t>
      </w:r>
    </w:p>
    <w:p>
      <w:pPr>
        <w:spacing w:after="60"/>
        <w:ind w:left="340" w:hanging="240"/>
      </w:pPr>
      <w:r>
        <w:rPr>
          <w:b/>
          <w:bCs/>
          <w:color w:val="1D4ED8"/>
        </w:rPr>
        <w:t xml:space="preserve">•	</w:t>
      </w:r>
      <w:r>
        <w:rPr>
          <w:b w:val="false"/>
          <w:bCs w:val="false"/>
        </w:rPr>
        <w:t xml:space="preserve">Dentro de cada fabricante, lotes por partida o entrega, con la limitación de tonelaje que fije el pliego: [PENDIENTE: frecuencia según el pliego del proyecto].</w:t>
      </w:r>
    </w:p>
    <w:p>
      <w:pPr>
        <w:spacing w:after="60"/>
        <w:ind w:left="340" w:hanging="240"/>
      </w:pPr>
      <w:r>
        <w:rPr>
          <w:b/>
          <w:bCs/>
          <w:color w:val="1D4ED8"/>
        </w:rPr>
        <w:t xml:space="preserve">•	</w:t>
      </w:r>
      <w:r>
        <w:rPr>
          <w:b w:val="false"/>
          <w:bCs w:val="false"/>
        </w:rPr>
        <w:t xml:space="preserve">Para el control de ejecución, lote por planta y elemento estructural: cimentación, muros y pantallas, pilares, y forjados y vigas, con separación por fases de hormigonado.</w:t>
      </w:r>
    </w:p>
    <w:p>
      <w:pPr>
        <w:spacing w:after="60"/>
        <w:ind w:left="340" w:hanging="240"/>
      </w:pPr>
      <w:r>
        <w:rPr>
          <w:b/>
          <w:bCs/>
          <w:color w:val="1D4ED8"/>
        </w:rPr>
        <w:t xml:space="preserve">•	</w:t>
      </w:r>
      <w:r>
        <w:rPr>
          <w:b w:val="false"/>
          <w:bCs w:val="false"/>
        </w:rPr>
        <w:t xml:space="preserve">Los empalmes por soldadura, si existen, constituyen lote propio con independencia del resto de la armadura.</w:t>
      </w:r>
    </w:p>
    <w:p>
      <w:pPr>
        <w:spacing w:after="60"/>
        <w:ind w:left="340" w:hanging="240"/>
      </w:pPr>
      <w:r>
        <w:rPr>
          <w:b/>
          <w:bCs/>
          <w:color w:val="1D4ED8"/>
        </w:rPr>
        <w:t xml:space="preserve">•	</w:t>
      </w:r>
      <w:r>
        <w:rPr>
          <w:b w:val="false"/>
          <w:bCs w:val="false"/>
        </w:rPr>
        <w:t xml:space="preserve">Medición total de referencia: 46 t; la asignación definitiva de tonelaje a cada lote se cierra con las hojas de suministro reales.</w:t>
      </w:r>
    </w:p>
    <w:p>
      <w:pPr>
        <w:spacing w:after="140"/>
      </w:pPr>
      <w:r>
        <w:rPr>
          <w:b/>
          <w:bCs/>
        </w:rPr>
        <w:t xml:space="preserve">Criterio de no conformidad</w:t>
      </w:r>
    </w:p>
    <w:p>
      <w:pPr>
        <w:spacing w:after="60"/>
        <w:ind w:left="340" w:hanging="240"/>
      </w:pPr>
      <w:r>
        <w:rPr>
          <w:b/>
          <w:bCs/>
          <w:color w:val="1D4ED8"/>
        </w:rPr>
        <w:t xml:space="preserve">•	</w:t>
      </w:r>
      <w:r>
        <w:rPr>
          <w:b w:val="false"/>
          <w:bCs w:val="false"/>
        </w:rPr>
        <w:t xml:space="preserve">Falta o insuficiencia de la documentación de recepción: la partida no entra en obra o queda acopiada e identificada como no apta hasta que se aporte.</w:t>
      </w:r>
    </w:p>
    <w:p>
      <w:pPr>
        <w:spacing w:after="60"/>
        <w:ind w:left="340" w:hanging="240"/>
      </w:pPr>
      <w:r>
        <w:rPr>
          <w:b/>
          <w:bCs/>
          <w:color w:val="1D4ED8"/>
        </w:rPr>
        <w:t xml:space="preserve">•	</w:t>
      </w:r>
      <w:r>
        <w:rPr>
          <w:b w:val="false"/>
          <w:bCs w:val="false"/>
        </w:rPr>
        <w:t xml:space="preserve">Discrepancia entre la identificación de las barras y la hoja de suministro, o partida sin trazabilidad de colada: rechazo de la partida.</w:t>
      </w:r>
    </w:p>
    <w:p>
      <w:pPr>
        <w:spacing w:after="60"/>
        <w:ind w:left="340" w:hanging="240"/>
      </w:pPr>
      <w:r>
        <w:rPr>
          <w:b/>
          <w:bCs/>
          <w:color w:val="1D4ED8"/>
        </w:rPr>
        <w:t xml:space="preserve">•	</w:t>
      </w:r>
      <w:r>
        <w:rPr>
          <w:b w:val="false"/>
          <w:bCs w:val="false"/>
        </w:rPr>
        <w:t xml:space="preserve">Resultado de ensayo desfavorable: se procede al contraensayo con nuevas muestras del mismo lote según lo previsto en el pliego; si se confirma, el lote se declara no conforme y se retira de la obra o, si ya está hormigonado, se aplica lo indicado en el punto siguiente.</w:t>
      </w:r>
    </w:p>
    <w:p>
      <w:pPr>
        <w:spacing w:after="60"/>
        <w:ind w:left="340" w:hanging="240"/>
      </w:pPr>
      <w:r>
        <w:rPr>
          <w:b/>
          <w:bCs/>
          <w:color w:val="1D4ED8"/>
        </w:rPr>
        <w:t xml:space="preserve">•	</w:t>
      </w:r>
      <w:r>
        <w:rPr>
          <w:b w:val="false"/>
          <w:bCs w:val="false"/>
        </w:rPr>
        <w:t xml:space="preserve">Defectos de ejecución en ferralla no hormigonada (recubrimientos, solapes, separaciones, diámetros): corrección antes de autorizar el hormigonado; no se firma la autorización hasta la revisión favorable.</w:t>
      </w:r>
    </w:p>
    <w:p>
      <w:pPr>
        <w:spacing w:after="60"/>
        <w:ind w:left="340" w:hanging="240"/>
      </w:pPr>
      <w:r>
        <w:rPr>
          <w:b/>
          <w:bCs/>
          <w:color w:val="1D4ED8"/>
        </w:rPr>
        <w:t xml:space="preserve">•	</w:t>
      </w:r>
      <w:r>
        <w:rPr>
          <w:b w:val="false"/>
          <w:bCs w:val="false"/>
        </w:rPr>
        <w:t xml:space="preserve">Defectos detectados sobre elemento ya hormigonado: el proyectista evalúa la capacidad del elemento afectado y propone refuerzo, sustitución o aceptación con reducción de prestaciones, con decisión de la dirección facultativa.</w:t>
      </w:r>
    </w:p>
    <w:p>
      <w:pPr>
        <w:spacing w:after="60"/>
        <w:ind w:left="340" w:hanging="240"/>
      </w:pPr>
      <w:r>
        <w:rPr>
          <w:b/>
          <w:bCs/>
          <w:color w:val="1D4ED8"/>
        </w:rPr>
        <w:t xml:space="preserve">•	</w:t>
      </w:r>
      <w:r>
        <w:rPr>
          <w:b w:val="false"/>
          <w:bCs w:val="false"/>
        </w:rPr>
        <w:t xml:space="preserve">Toda no conformidad se registra por escrito con identificación del lote, ensayo o comprobación afectada, medida adoptada y verificación posterior de su cierre.</w:t>
      </w:r>
    </w:p>
    <w:p>
      <w:pPr>
        <w:pStyle w:val="Heading3"/>
        <w:spacing w:after="140" w:before="320"/>
      </w:pPr>
      <w:r>
        <w:rPr>
          <w:b w:val="false"/>
          <w:bCs w:val="false"/>
        </w:rPr>
        <w:t xml:space="preserve">Fábrica de ladrillo cara vista</w:t>
      </w:r>
    </w:p>
    <w:p>
      <w:pPr>
        <w:spacing w:after="140"/>
      </w:pPr>
      <w:r>
        <w:rPr>
          <w:b/>
          <w:bCs/>
        </w:rPr>
        <w:t xml:space="preserve">Recepción de productos</w:t>
      </w:r>
    </w:p>
    <w:p>
      <w:pPr>
        <w:spacing w:after="60"/>
        <w:ind w:left="340" w:hanging="240"/>
      </w:pPr>
      <w:r>
        <w:rPr>
          <w:b/>
          <w:bCs/>
          <w:color w:val="1D4ED8"/>
        </w:rPr>
        <w:t xml:space="preserve">•	</w:t>
      </w:r>
      <w:r>
        <w:rPr>
          <w:b w:val="false"/>
          <w:bCs w:val="false"/>
        </w:rPr>
        <w:t xml:space="preserve">Ladrillo cara vista: marcado CE y declaración de prestaciones del fabricante, con identificación de tipo, dimensiones, categoría de resistencia a compresión, absorción de agua, contenido de sales solubles activas y resistencia a heladas acorde a la exposición de la fachada.</w:t>
      </w:r>
    </w:p>
    <w:p>
      <w:pPr>
        <w:spacing w:after="60"/>
        <w:ind w:left="340" w:hanging="240"/>
      </w:pPr>
      <w:r>
        <w:rPr>
          <w:b/>
          <w:bCs/>
          <w:color w:val="1D4ED8"/>
        </w:rPr>
        <w:t xml:space="preserve">•	</w:t>
      </w:r>
      <w:r>
        <w:rPr>
          <w:b w:val="false"/>
          <w:bCs w:val="false"/>
        </w:rPr>
        <w:t xml:space="preserve">Albarán por partida contrastado con el material descargado; comprobación de que la partida procede del mismo lote de cocción y coincide con la muestra de tonalidad y textura aceptada por la dirección facultativa.</w:t>
      </w:r>
    </w:p>
    <w:p>
      <w:pPr>
        <w:spacing w:after="60"/>
        <w:ind w:left="340" w:hanging="240"/>
      </w:pPr>
      <w:r>
        <w:rPr>
          <w:b/>
          <w:bCs/>
          <w:color w:val="1D4ED8"/>
        </w:rPr>
        <w:t xml:space="preserve">•	</w:t>
      </w:r>
      <w:r>
        <w:rPr>
          <w:b w:val="false"/>
          <w:bCs w:val="false"/>
        </w:rPr>
        <w:t xml:space="preserve">Panel de muestra ejecutado en obra (aparejo, tono, tipo de junta, espesor y acabado del rejuntado) aprobado por escrito antes del inicio del suministro; se conserva hasta la recepción de la unidad.</w:t>
      </w:r>
    </w:p>
    <w:p>
      <w:pPr>
        <w:spacing w:after="60"/>
        <w:ind w:left="340" w:hanging="240"/>
      </w:pPr>
      <w:r>
        <w:rPr>
          <w:b/>
          <w:bCs/>
          <w:color w:val="1D4ED8"/>
        </w:rPr>
        <w:t xml:space="preserve">•	</w:t>
      </w:r>
      <w:r>
        <w:rPr>
          <w:b w:val="false"/>
          <w:bCs w:val="false"/>
        </w:rPr>
        <w:t xml:space="preserve">Morteros: declaración de prestaciones del mortero industrial (categoría de resistencia y, en su caso, aptitud para uso en fábrica cara vista) o dosificación aprobada si es mortero hecho en obra; identificación de cementos, cales y aditivos.</w:t>
      </w:r>
    </w:p>
    <w:p>
      <w:pPr>
        <w:spacing w:after="60"/>
        <w:ind w:left="340" w:hanging="240"/>
      </w:pPr>
      <w:r>
        <w:rPr>
          <w:b/>
          <w:bCs/>
          <w:color w:val="1D4ED8"/>
        </w:rPr>
        <w:t xml:space="preserve">•	</w:t>
      </w:r>
      <w:r>
        <w:rPr>
          <w:b w:val="false"/>
          <w:bCs w:val="false"/>
        </w:rPr>
        <w:t xml:space="preserve">Anclajes, llaves, armaduras de tendel, angulares, perfiles de apoyo y elementos de acero: marcado CE cuando proceda, certificado de material y de protección frente a la corrosión adecuada a la clase de exposición.</w:t>
      </w:r>
    </w:p>
    <w:p>
      <w:pPr>
        <w:spacing w:after="60"/>
        <w:ind w:left="340" w:hanging="240"/>
      </w:pPr>
      <w:r>
        <w:rPr>
          <w:b/>
          <w:bCs/>
          <w:color w:val="1D4ED8"/>
        </w:rPr>
        <w:t xml:space="preserve">•	</w:t>
      </w:r>
      <w:r>
        <w:rPr>
          <w:b w:val="false"/>
          <w:bCs w:val="false"/>
        </w:rPr>
        <w:t xml:space="preserve">Barrera de agua, bandas de estanquidad, piezas especiales, llagueados de ventilación y drenaje, y perfiles de coronación: fichas técnicas y compatibilidad declarada con el resto del sistema.</w:t>
      </w:r>
    </w:p>
    <w:p>
      <w:pPr>
        <w:spacing w:after="140"/>
      </w:pPr>
      <w:r>
        <w:rPr>
          <w:b/>
          <w:bCs/>
        </w:rPr>
        <w:t xml:space="preserve">Control de ejecución</w:t>
      </w:r>
    </w:p>
    <w:p>
      <w:pPr>
        <w:spacing w:after="60"/>
        <w:ind w:left="340" w:hanging="240"/>
      </w:pPr>
      <w:r>
        <w:rPr>
          <w:b/>
          <w:bCs/>
          <w:color w:val="1D4ED8"/>
        </w:rPr>
        <w:t xml:space="preserve">•	</w:t>
      </w:r>
      <w:r>
        <w:rPr>
          <w:b w:val="false"/>
          <w:bCs w:val="false"/>
        </w:rPr>
        <w:t xml:space="preserve">Replanteo previo de la hoja exterior: espesor de cámara, holguras de apoyo, situación de juntas de dilatación, huecos y encuentros, contrastado con los planos de fachada y detalles del proyecto.</w:t>
      </w:r>
    </w:p>
    <w:p>
      <w:pPr>
        <w:spacing w:after="60"/>
        <w:ind w:left="340" w:hanging="240"/>
      </w:pPr>
      <w:r>
        <w:rPr>
          <w:b/>
          <w:bCs/>
          <w:color w:val="1D4ED8"/>
        </w:rPr>
        <w:t xml:space="preserve">•	</w:t>
      </w:r>
      <w:r>
        <w:rPr>
          <w:b w:val="false"/>
          <w:bCs w:val="false"/>
        </w:rPr>
        <w:t xml:space="preserve">Apoyo y arranque: continuidad y solape de la barrera de agua en arranque, disposición de la lámina o babero en frentes de forjado, y ejecución de llagas abiertas de drenaje y ventilación según detalle.</w:t>
      </w:r>
    </w:p>
    <w:p>
      <w:pPr>
        <w:spacing w:after="60"/>
        <w:ind w:left="340" w:hanging="240"/>
      </w:pPr>
      <w:r>
        <w:rPr>
          <w:b/>
          <w:bCs/>
          <w:color w:val="1D4ED8"/>
        </w:rPr>
        <w:t xml:space="preserve">•	</w:t>
      </w:r>
      <w:r>
        <w:rPr>
          <w:b w:val="false"/>
          <w:bCs w:val="false"/>
        </w:rPr>
        <w:t xml:space="preserve">Ejecución de la fábrica: aparejo y traba conforme al panel aprobado, tendeles y llagas llenos y con espesor uniforme, verticalidad, planeidad y horizontalidad dentro de las tolerancias del pliego; ausencia de rebabas y manchas de mortero sobre la cara vista.</w:t>
      </w:r>
    </w:p>
    <w:p>
      <w:pPr>
        <w:spacing w:after="60"/>
        <w:ind w:left="340" w:hanging="240"/>
      </w:pPr>
      <w:r>
        <w:rPr>
          <w:b/>
          <w:bCs/>
          <w:color w:val="1D4ED8"/>
        </w:rPr>
        <w:t xml:space="preserve">•	</w:t>
      </w:r>
      <w:r>
        <w:rPr>
          <w:b w:val="false"/>
          <w:bCs w:val="false"/>
        </w:rPr>
        <w:t xml:space="preserve">Trabado a la estructura: número, tipo y disposición de llaves y anclajes por paño, penetración en soporte y en tendel, armaduras de tendel en dinteles y zonas de refuerzo; no se admite anclaje sobre soporte no consolidado.</w:t>
      </w:r>
    </w:p>
    <w:p>
      <w:pPr>
        <w:spacing w:after="60"/>
        <w:ind w:left="340" w:hanging="240"/>
      </w:pPr>
      <w:r>
        <w:rPr>
          <w:b/>
          <w:bCs/>
          <w:color w:val="1D4ED8"/>
        </w:rPr>
        <w:t xml:space="preserve">•	</w:t>
      </w:r>
      <w:r>
        <w:rPr>
          <w:b w:val="false"/>
          <w:bCs w:val="false"/>
        </w:rPr>
        <w:t xml:space="preserve">Juntas de dilatación y movimiento: posición, anchura, limpieza del fondo, material de relleno y sellado; comprobación de que no quedan puenteadas por mortero, perfiles o cargaderos.</w:t>
      </w:r>
    </w:p>
    <w:p>
      <w:pPr>
        <w:spacing w:after="60"/>
        <w:ind w:left="340" w:hanging="240"/>
      </w:pPr>
      <w:r>
        <w:rPr>
          <w:b/>
          <w:bCs/>
          <w:color w:val="1D4ED8"/>
        </w:rPr>
        <w:t xml:space="preserve">•	</w:t>
      </w:r>
      <w:r>
        <w:rPr>
          <w:b w:val="false"/>
          <w:bCs w:val="false"/>
        </w:rPr>
        <w:t xml:space="preserve">Encuentros singulares: dinteles, jambas, vierteaguas, remates de coronación y encuentro con cubierta; pendiente y goterón de vierteaguas, entrega bajo carpintería y estanquidad del conjunto antes de trasdosar por el interior.</w:t>
      </w:r>
    </w:p>
    <w:p>
      <w:pPr>
        <w:spacing w:after="60"/>
        <w:ind w:left="340" w:hanging="240"/>
      </w:pPr>
      <w:r>
        <w:rPr>
          <w:b/>
          <w:bCs/>
          <w:color w:val="1D4ED8"/>
        </w:rPr>
        <w:t xml:space="preserve">•	</w:t>
      </w:r>
      <w:r>
        <w:rPr>
          <w:b w:val="false"/>
          <w:bCs w:val="false"/>
        </w:rPr>
        <w:t xml:space="preserve">Rejuntado y limpieza final: tipo de junta y profundidad uniformes, curado del mortero, limpieza sin productos ni presiones que alteren el ladrillo, sin eflorescencias visibles.</w:t>
      </w:r>
    </w:p>
    <w:p>
      <w:pPr>
        <w:spacing w:after="60"/>
        <w:ind w:left="340" w:hanging="240"/>
      </w:pPr>
      <w:r>
        <w:rPr>
          <w:b/>
          <w:bCs/>
          <w:color w:val="1D4ED8"/>
        </w:rPr>
        <w:t xml:space="preserve">•	</w:t>
      </w:r>
      <w:r>
        <w:rPr>
          <w:b w:val="false"/>
          <w:bCs w:val="false"/>
        </w:rPr>
        <w:t xml:space="preserve">Frecuencia de las comprobaciones: [PENDIENTE: frecuencia según el pliego del proyecto].</w:t>
      </w:r>
    </w:p>
    <w:p>
      <w:pPr>
        <w:spacing w:after="140"/>
      </w:pPr>
      <w:r>
        <w:rPr>
          <w:b/>
          <w:bCs/>
        </w:rPr>
        <w:t xml:space="preserve">Lotes propuestos</w:t>
      </w:r>
    </w:p>
    <w:p>
      <w:pPr>
        <w:spacing w:after="60"/>
        <w:ind w:left="340" w:hanging="240"/>
      </w:pPr>
      <w:r>
        <w:rPr>
          <w:b/>
          <w:bCs/>
          <w:color w:val="1D4ED8"/>
        </w:rPr>
        <w:t xml:space="preserve">•	</w:t>
      </w:r>
      <w:r>
        <w:rPr>
          <w:b w:val="false"/>
          <w:bCs w:val="false"/>
        </w:rPr>
        <w:t xml:space="preserve">Propuesta de lotificación sujeta a aprobación de la dirección facultativa, sobre una medición total de 640 m².</w:t>
      </w:r>
    </w:p>
    <w:p>
      <w:pPr>
        <w:spacing w:after="60"/>
        <w:ind w:left="340" w:hanging="240"/>
      </w:pPr>
      <w:r>
        <w:rPr>
          <w:b/>
          <w:bCs/>
          <w:color w:val="1D4ED8"/>
        </w:rPr>
        <w:t xml:space="preserve">•	</w:t>
      </w:r>
      <w:r>
        <w:rPr>
          <w:b w:val="false"/>
          <w:bCs w:val="false"/>
        </w:rPr>
        <w:t xml:space="preserve">División por fachada u orientación, separando fachadas a vía pública de patios, por su distinta exposición y acabado.</w:t>
      </w:r>
    </w:p>
    <w:p>
      <w:pPr>
        <w:spacing w:after="60"/>
        <w:ind w:left="340" w:hanging="240"/>
      </w:pPr>
      <w:r>
        <w:rPr>
          <w:b/>
          <w:bCs/>
          <w:color w:val="1D4ED8"/>
        </w:rPr>
        <w:t xml:space="preserve">•	</w:t>
      </w:r>
      <w:r>
        <w:rPr>
          <w:b w:val="false"/>
          <w:bCs w:val="false"/>
        </w:rPr>
        <w:t xml:space="preserve">Dentro de cada fachada, subdivisión por planta o por nivel de andamio, de modo que cada lote corresponda a un tajo ejecutado por el mismo equipo y con material del mismo lote de suministro.</w:t>
      </w:r>
    </w:p>
    <w:p>
      <w:pPr>
        <w:spacing w:after="60"/>
        <w:ind w:left="340" w:hanging="240"/>
      </w:pPr>
      <w:r>
        <w:rPr>
          <w:b/>
          <w:bCs/>
          <w:color w:val="1D4ED8"/>
        </w:rPr>
        <w:t xml:space="preserve">•	</w:t>
      </w:r>
      <w:r>
        <w:rPr>
          <w:b w:val="false"/>
          <w:bCs w:val="false"/>
        </w:rPr>
        <w:t xml:space="preserve">Se tratan como lote independiente los paños con singularidades relevantes: petos, coronaciones, encuentros con cubierta y paños con cargaderos de gran luz.</w:t>
      </w:r>
    </w:p>
    <w:p>
      <w:pPr>
        <w:spacing w:after="60"/>
        <w:ind w:left="340" w:hanging="240"/>
      </w:pPr>
      <w:r>
        <w:rPr>
          <w:b/>
          <w:bCs/>
          <w:color w:val="1D4ED8"/>
        </w:rPr>
        <w:t xml:space="preserve">•	</w:t>
      </w:r>
      <w:r>
        <w:rPr>
          <w:b w:val="false"/>
          <w:bCs w:val="false"/>
        </w:rPr>
        <w:t xml:space="preserve">Tamaño de lote y número de comprobaciones por lote: [PENDIENTE: frecuencia según el pliego del proyecto].</w:t>
      </w:r>
    </w:p>
    <w:p>
      <w:pPr>
        <w:spacing w:after="140"/>
      </w:pPr>
      <w:r>
        <w:rPr>
          <w:b/>
          <w:bCs/>
        </w:rPr>
        <w:t xml:space="preserve">Criterio de no conformidad</w:t>
      </w:r>
    </w:p>
    <w:p>
      <w:pPr>
        <w:spacing w:after="60"/>
        <w:ind w:left="340" w:hanging="240"/>
      </w:pPr>
      <w:r>
        <w:rPr>
          <w:b/>
          <w:bCs/>
          <w:color w:val="1D4ED8"/>
        </w:rPr>
        <w:t xml:space="preserve">•	</w:t>
      </w:r>
      <w:r>
        <w:rPr>
          <w:b w:val="false"/>
          <w:bCs w:val="false"/>
        </w:rPr>
        <w:t xml:space="preserve">Se abre parte de no conformidad con identificación del lote, paño y comprobación fallida, y se paraliza el tajo afectado, incluido el trasdosado interior que impida el acceso a la hoja exterior.</w:t>
      </w:r>
    </w:p>
    <w:p>
      <w:pPr>
        <w:spacing w:after="60"/>
        <w:ind w:left="340" w:hanging="240"/>
      </w:pPr>
      <w:r>
        <w:rPr>
          <w:b/>
          <w:bCs/>
          <w:color w:val="1D4ED8"/>
        </w:rPr>
        <w:t xml:space="preserve">•	</w:t>
      </w:r>
      <w:r>
        <w:rPr>
          <w:b w:val="false"/>
          <w:bCs w:val="false"/>
        </w:rPr>
        <w:t xml:space="preserve">Defectos de material (dimensiones, tono, eflorescencias, falta de documentación o marcado CE): rechazo de la partida y retirada de obra; no se admite su uso en paños vistos.</w:t>
      </w:r>
    </w:p>
    <w:p>
      <w:pPr>
        <w:spacing w:after="60"/>
        <w:ind w:left="340" w:hanging="240"/>
      </w:pPr>
      <w:r>
        <w:rPr>
          <w:b/>
          <w:bCs/>
          <w:color w:val="1D4ED8"/>
        </w:rPr>
        <w:t xml:space="preserve">•	</w:t>
      </w:r>
      <w:r>
        <w:rPr>
          <w:b w:val="false"/>
          <w:bCs w:val="false"/>
        </w:rPr>
        <w:t xml:space="preserve">Desviaciones geométricas fuera de tolerancia, juntas mal ejecutadas o tendeles y llagas incompletos: demolición y rehacer del paño afectado a cargo del contratista, sin admitir recrecidos ni retacados superficiales.</w:t>
      </w:r>
    </w:p>
    <w:p>
      <w:pPr>
        <w:spacing w:after="60"/>
        <w:ind w:left="340" w:hanging="240"/>
      </w:pPr>
      <w:r>
        <w:rPr>
          <w:b/>
          <w:bCs/>
          <w:color w:val="1D4ED8"/>
        </w:rPr>
        <w:t xml:space="preserve">•	</w:t>
      </w:r>
      <w:r>
        <w:rPr>
          <w:b w:val="false"/>
          <w:bCs w:val="false"/>
        </w:rPr>
        <w:t xml:space="preserve">Deficiencias en anclajes, armaduras de tendel, barrera de agua o drenaje de la cámara: reposición hasta alcanzar la disposición de proyecto, con apertura de los paños que sea necesaria para verificarla.</w:t>
      </w:r>
    </w:p>
    <w:p>
      <w:pPr>
        <w:spacing w:after="60"/>
        <w:ind w:left="340" w:hanging="240"/>
      </w:pPr>
      <w:r>
        <w:rPr>
          <w:b/>
          <w:bCs/>
          <w:color w:val="1D4ED8"/>
        </w:rPr>
        <w:t xml:space="preserve">•	</w:t>
      </w:r>
      <w:r>
        <w:rPr>
          <w:b w:val="false"/>
          <w:bCs w:val="false"/>
        </w:rPr>
        <w:t xml:space="preserve">Cuando la dirección facultativa lo considere, ampliación del control al doble de puntos de comprobación en el lote afectado y en el lote contiguo ejecutado por el mismo equipo.</w:t>
      </w:r>
    </w:p>
    <w:p>
      <w:pPr>
        <w:spacing w:after="60"/>
        <w:ind w:left="340" w:hanging="240"/>
      </w:pPr>
      <w:r>
        <w:rPr>
          <w:b/>
          <w:bCs/>
          <w:color w:val="1D4ED8"/>
        </w:rPr>
        <w:t xml:space="preserve">•	</w:t>
      </w:r>
      <w:r>
        <w:rPr>
          <w:b w:val="false"/>
          <w:bCs w:val="false"/>
        </w:rPr>
        <w:t xml:space="preserve">La aceptación del lote requiere cierre documental de la no conformidad: solución adoptada, ejecución verificada y conformidad expresa de la dirección facultativa, con reportaje fotográfico previo al cierre de la cámara.</w:t>
      </w:r>
    </w:p>
    <w:p>
      <w:pPr>
        <w:pStyle w:val="Heading3"/>
        <w:spacing w:after="140" w:before="320"/>
      </w:pPr>
      <w:r>
        <w:rPr>
          <w:b w:val="false"/>
          <w:bCs w:val="false"/>
        </w:rPr>
        <w:t xml:space="preserve">Cubierta plana invertida</w:t>
      </w:r>
    </w:p>
    <w:p>
      <w:pPr>
        <w:spacing w:after="140"/>
      </w:pPr>
      <w:r>
        <w:rPr>
          <w:b/>
          <w:bCs/>
        </w:rPr>
        <w:t xml:space="preserve">Recepción de productos</w:t>
      </w:r>
    </w:p>
    <w:p>
      <w:pPr>
        <w:spacing w:after="60"/>
        <w:ind w:left="340" w:hanging="240"/>
      </w:pPr>
      <w:r>
        <w:rPr>
          <w:b/>
          <w:bCs/>
          <w:color w:val="1D4ED8"/>
        </w:rPr>
        <w:t xml:space="preserve">•	</w:t>
      </w:r>
      <w:r>
        <w:rPr>
          <w:b w:val="false"/>
          <w:bCs w:val="false"/>
        </w:rPr>
        <w:t xml:space="preserve">Lámina impermeabilizante: marcado CE y declaración de prestaciones, con identificación de tipo, espesor/gramaje y comportamiento frente a punzonamiento y estanquidad; albarán coincidente con la referencia aprobada en proyecto.</w:t>
      </w:r>
    </w:p>
    <w:p>
      <w:pPr>
        <w:spacing w:after="60"/>
        <w:ind w:left="340" w:hanging="240"/>
      </w:pPr>
      <w:r>
        <w:rPr>
          <w:b/>
          <w:bCs/>
          <w:color w:val="1D4ED8"/>
        </w:rPr>
        <w:t xml:space="preserve">•	</w:t>
      </w:r>
      <w:r>
        <w:rPr>
          <w:b w:val="false"/>
          <w:bCs w:val="false"/>
        </w:rPr>
        <w:t xml:space="preserve">Aislamiento térmico (poliestireno extruido): marcado CE y declaración de prestaciones con conductividad térmica, resistencia a compresión y absorción de agua a largo plazo por inmersión; comprobación de espesor nominal y escuadría de placas.</w:t>
      </w:r>
    </w:p>
    <w:p>
      <w:pPr>
        <w:spacing w:after="60"/>
        <w:ind w:left="340" w:hanging="240"/>
      </w:pPr>
      <w:r>
        <w:rPr>
          <w:b/>
          <w:bCs/>
          <w:color w:val="1D4ED8"/>
        </w:rPr>
        <w:t xml:space="preserve">•	</w:t>
      </w:r>
      <w:r>
        <w:rPr>
          <w:b w:val="false"/>
          <w:bCs w:val="false"/>
        </w:rPr>
        <w:t xml:space="preserve">Capa separadora geotextil: marcado CE y declaración de prestaciones, con gramaje y resistencia al punzonamiento.</w:t>
      </w:r>
    </w:p>
    <w:p>
      <w:pPr>
        <w:spacing w:after="60"/>
        <w:ind w:left="340" w:hanging="240"/>
      </w:pPr>
      <w:r>
        <w:rPr>
          <w:b/>
          <w:bCs/>
          <w:color w:val="1D4ED8"/>
        </w:rPr>
        <w:t xml:space="preserve">•	</w:t>
      </w:r>
      <w:r>
        <w:rPr>
          <w:b w:val="false"/>
          <w:bCs w:val="false"/>
        </w:rPr>
        <w:t xml:space="preserve">Grava: certificado de suministro con granulometría, ausencia de finos y de partículas de canto vivo; declaración de lavado.</w:t>
      </w:r>
    </w:p>
    <w:p>
      <w:pPr>
        <w:spacing w:after="60"/>
        <w:ind w:left="340" w:hanging="240"/>
      </w:pPr>
      <w:r>
        <w:rPr>
          <w:b/>
          <w:bCs/>
          <w:color w:val="1D4ED8"/>
        </w:rPr>
        <w:t xml:space="preserve">•	</w:t>
      </w:r>
      <w:r>
        <w:rPr>
          <w:b w:val="false"/>
          <w:bCs w:val="false"/>
        </w:rPr>
        <w:t xml:space="preserve">Elementos singulares: sumideros, cazoletas, perfiles de remate, bandas de refuerzo y morteros de formación de pendientes, con ficha técnica del fabricante y confirmación de compatibilidad con la lámina propuesta.</w:t>
      </w:r>
    </w:p>
    <w:p>
      <w:pPr>
        <w:spacing w:after="60"/>
        <w:ind w:left="340" w:hanging="240"/>
      </w:pPr>
      <w:r>
        <w:rPr>
          <w:b/>
          <w:bCs/>
          <w:color w:val="1D4ED8"/>
        </w:rPr>
        <w:t xml:space="preserve">•	</w:t>
      </w:r>
      <w:r>
        <w:rPr>
          <w:b w:val="false"/>
          <w:bCs w:val="false"/>
        </w:rPr>
        <w:t xml:space="preserve">Rechazo del material en obra si falta la declaración de prestaciones, si el lote no es identificable o si se aprecian láminas con pliegues marcados, deterioro por almacenamiento o rotura de embalaje del aislamiento.</w:t>
      </w:r>
    </w:p>
    <w:p>
      <w:pPr>
        <w:spacing w:after="140"/>
      </w:pPr>
      <w:r>
        <w:rPr>
          <w:b/>
          <w:bCs/>
        </w:rPr>
        <w:t xml:space="preserve">Control de ejecución</w:t>
      </w:r>
    </w:p>
    <w:p>
      <w:pPr>
        <w:spacing w:after="60"/>
        <w:ind w:left="340" w:hanging="240"/>
      </w:pPr>
      <w:r>
        <w:rPr>
          <w:b/>
          <w:bCs/>
          <w:color w:val="1D4ED8"/>
        </w:rPr>
        <w:t xml:space="preserve">•	</w:t>
      </w:r>
      <w:r>
        <w:rPr>
          <w:b w:val="false"/>
          <w:bCs w:val="false"/>
        </w:rPr>
        <w:t xml:space="preserve">Soporte previo: limpieza, ausencia de coqueras y resaltes, y humedad admisible según ficha técnica de la lámina; formación de pendientes comprobada con nivel contra las pendientes grafiadas en los planos de cubierta.</w:t>
      </w:r>
    </w:p>
    <w:p>
      <w:pPr>
        <w:spacing w:after="60"/>
        <w:ind w:left="340" w:hanging="240"/>
      </w:pPr>
      <w:r>
        <w:rPr>
          <w:b/>
          <w:bCs/>
          <w:color w:val="1D4ED8"/>
        </w:rPr>
        <w:t xml:space="preserve">•	</w:t>
      </w:r>
      <w:r>
        <w:rPr>
          <w:b w:val="false"/>
          <w:bCs w:val="false"/>
        </w:rPr>
        <w:t xml:space="preserve">Encuentros y puntos singulares: altura de entrega de la impermeabilización en petos y paramentos, media caña o chaflán en rincones, refuerzos en esquinas y bandas de refuerzo en sumideros, contrastado contra los detalles constructivos del proyecto.</w:t>
      </w:r>
    </w:p>
    <w:p>
      <w:pPr>
        <w:spacing w:after="60"/>
        <w:ind w:left="340" w:hanging="240"/>
      </w:pPr>
      <w:r>
        <w:rPr>
          <w:b/>
          <w:bCs/>
          <w:color w:val="1D4ED8"/>
        </w:rPr>
        <w:t xml:space="preserve">•	</w:t>
      </w:r>
      <w:r>
        <w:rPr>
          <w:b w:val="false"/>
          <w:bCs w:val="false"/>
        </w:rPr>
        <w:t xml:space="preserve">Solapes de la lámina: dimensión mínima de solape y continuidad de la soldadura o adhesión, con verificación manual del cordón y comprobación visual del acabado de borde.</w:t>
      </w:r>
    </w:p>
    <w:p>
      <w:pPr>
        <w:spacing w:after="60"/>
        <w:ind w:left="340" w:hanging="240"/>
      </w:pPr>
      <w:r>
        <w:rPr>
          <w:b/>
          <w:bCs/>
          <w:color w:val="1D4ED8"/>
        </w:rPr>
        <w:t xml:space="preserve">•	</w:t>
      </w:r>
      <w:r>
        <w:rPr>
          <w:b w:val="false"/>
          <w:bCs w:val="false"/>
        </w:rPr>
        <w:t xml:space="preserve">Sumideros: cota respecto a la superficie terminada, cazoleta enrasada y ausencia de contrapendientes en su entorno; comprobación de evacuación por vertido de agua.</w:t>
      </w:r>
    </w:p>
    <w:p>
      <w:pPr>
        <w:spacing w:after="60"/>
        <w:ind w:left="340" w:hanging="240"/>
      </w:pPr>
      <w:r>
        <w:rPr>
          <w:b/>
          <w:bCs/>
          <w:color w:val="1D4ED8"/>
        </w:rPr>
        <w:t xml:space="preserve">•	</w:t>
      </w:r>
      <w:r>
        <w:rPr>
          <w:b w:val="false"/>
          <w:bCs w:val="false"/>
        </w:rPr>
        <w:t xml:space="preserve">Aislamiento: colocación a junta encontrada, sin holguras entre placas, apoyo continuo y espesor total acumulado según la solución de proyecto.</w:t>
      </w:r>
    </w:p>
    <w:p>
      <w:pPr>
        <w:spacing w:after="60"/>
        <w:ind w:left="340" w:hanging="240"/>
      </w:pPr>
      <w:r>
        <w:rPr>
          <w:b/>
          <w:bCs/>
          <w:color w:val="1D4ED8"/>
        </w:rPr>
        <w:t xml:space="preserve">•	</w:t>
      </w:r>
      <w:r>
        <w:rPr>
          <w:b w:val="false"/>
          <w:bCs w:val="false"/>
        </w:rPr>
        <w:t xml:space="preserve">Capa de protección: geotextil con solapes y sin roturas, y espesor de grava uniforme suficiente para garantizar la estabilidad frente al viento prevista en proyecto, con la banda perimetral libre según detalle.</w:t>
      </w:r>
    </w:p>
    <w:p>
      <w:pPr>
        <w:spacing w:after="60"/>
        <w:ind w:left="340" w:hanging="240"/>
      </w:pPr>
      <w:r>
        <w:rPr>
          <w:b/>
          <w:bCs/>
          <w:color w:val="1D4ED8"/>
        </w:rPr>
        <w:t xml:space="preserve">•	</w:t>
      </w:r>
      <w:r>
        <w:rPr>
          <w:b w:val="false"/>
          <w:bCs w:val="false"/>
        </w:rPr>
        <w:t xml:space="preserve">Prueba de estanquidad por inundación o riego continuo antes de la colocación del aislamiento y la grava, con acta firmada; frecuencia y duración [PENDIENTE: frecuencia según el pliego del proyecto].</w:t>
      </w:r>
    </w:p>
    <w:p>
      <w:pPr>
        <w:spacing w:after="140"/>
      </w:pPr>
      <w:r>
        <w:rPr>
          <w:b/>
          <w:bCs/>
        </w:rPr>
        <w:t xml:space="preserve">Lotes propuestos</w:t>
      </w:r>
    </w:p>
    <w:p>
      <w:pPr>
        <w:spacing w:after="60"/>
        <w:ind w:left="340" w:hanging="240"/>
      </w:pPr>
      <w:r>
        <w:rPr>
          <w:b/>
          <w:bCs/>
          <w:color w:val="1D4ED8"/>
        </w:rPr>
        <w:t xml:space="preserve">•	</w:t>
      </w:r>
      <w:r>
        <w:rPr>
          <w:b w:val="false"/>
          <w:bCs w:val="false"/>
        </w:rPr>
        <w:t xml:space="preserve">Propuesta a aprobar por la dirección facultativa: lotificación por paños de cubierta delimitados por juntas estructurales o por petos, tratando cada paño como lote independiente.</w:t>
      </w:r>
    </w:p>
    <w:p>
      <w:pPr>
        <w:spacing w:after="60"/>
        <w:ind w:left="340" w:hanging="240"/>
      </w:pPr>
      <w:r>
        <w:rPr>
          <w:b/>
          <w:bCs/>
          <w:color w:val="1D4ED8"/>
        </w:rPr>
        <w:t xml:space="preserve">•	</w:t>
      </w:r>
      <w:r>
        <w:rPr>
          <w:b w:val="false"/>
          <w:bCs w:val="false"/>
        </w:rPr>
        <w:t xml:space="preserve">Lote adicional independiente para el conjunto de puntos singulares (sumideros, encuentros con petos, pasos de instalaciones y juntas), por su mayor incidencia en la estanquidad.</w:t>
      </w:r>
    </w:p>
    <w:p>
      <w:pPr>
        <w:spacing w:after="60"/>
        <w:ind w:left="340" w:hanging="240"/>
      </w:pPr>
      <w:r>
        <w:rPr>
          <w:b/>
          <w:bCs/>
          <w:color w:val="1D4ED8"/>
        </w:rPr>
        <w:t xml:space="preserve">•	</w:t>
      </w:r>
      <w:r>
        <w:rPr>
          <w:b w:val="false"/>
          <w:bCs w:val="false"/>
        </w:rPr>
        <w:t xml:space="preserve">Cada lote se documenta con acta de prueba de estanquidad, reportaje fotográfico previo al tapado y relación de lotes de material empleados.</w:t>
      </w:r>
    </w:p>
    <w:p>
      <w:pPr>
        <w:spacing w:after="60"/>
        <w:ind w:left="340" w:hanging="240"/>
      </w:pPr>
      <w:r>
        <w:rPr>
          <w:b/>
          <w:bCs/>
          <w:color w:val="1D4ED8"/>
        </w:rPr>
        <w:t xml:space="preserve">•	</w:t>
      </w:r>
      <w:r>
        <w:rPr>
          <w:b w:val="false"/>
          <w:bCs w:val="false"/>
        </w:rPr>
        <w:t xml:space="preserve">Número de comprobaciones y ensayos por lote: [PENDIENTE: frecuencia según el pliego del proyecto].</w:t>
      </w:r>
    </w:p>
    <w:p>
      <w:pPr>
        <w:spacing w:after="140"/>
      </w:pPr>
      <w:r>
        <w:rPr>
          <w:b/>
          <w:bCs/>
        </w:rPr>
        <w:t xml:space="preserve">Criterio de no conformidad</w:t>
      </w:r>
    </w:p>
    <w:p>
      <w:pPr>
        <w:spacing w:after="60"/>
        <w:ind w:left="340" w:hanging="240"/>
      </w:pPr>
      <w:r>
        <w:rPr>
          <w:b/>
          <w:bCs/>
          <w:color w:val="1D4ED8"/>
        </w:rPr>
        <w:t xml:space="preserve">•	</w:t>
      </w:r>
      <w:r>
        <w:rPr>
          <w:b w:val="false"/>
          <w:bCs w:val="false"/>
        </w:rPr>
        <w:t xml:space="preserve">Apertura de parte de no conformidad con identificación del lote, la comprobación fallida y el valor obtenido frente al exigido en proyecto.</w:t>
      </w:r>
    </w:p>
    <w:p>
      <w:pPr>
        <w:spacing w:after="60"/>
        <w:ind w:left="340" w:hanging="240"/>
      </w:pPr>
      <w:r>
        <w:rPr>
          <w:b/>
          <w:bCs/>
          <w:color w:val="1D4ED8"/>
        </w:rPr>
        <w:t xml:space="preserve">•	</w:t>
      </w:r>
      <w:r>
        <w:rPr>
          <w:b w:val="false"/>
          <w:bCs w:val="false"/>
        </w:rPr>
        <w:t xml:space="preserve">Suspensión del tapado del paño afectado (aislamiento, geotextil y grava) hasta la resolución, para no ocultar la lámina.</w:t>
      </w:r>
    </w:p>
    <w:p>
      <w:pPr>
        <w:spacing w:after="60"/>
        <w:ind w:left="340" w:hanging="240"/>
      </w:pPr>
      <w:r>
        <w:rPr>
          <w:b/>
          <w:bCs/>
          <w:color w:val="1D4ED8"/>
        </w:rPr>
        <w:t xml:space="preserve">•	</w:t>
      </w:r>
      <w:r>
        <w:rPr>
          <w:b w:val="false"/>
          <w:bCs w:val="false"/>
        </w:rPr>
        <w:t xml:space="preserve">Fuga o retención de agua detectada en la prueba de estanquidad: localización del defecto, reparación con refuerzo de lámina compatible y repetición completa de la prueba sobre el mismo paño.</w:t>
      </w:r>
    </w:p>
    <w:p>
      <w:pPr>
        <w:spacing w:after="60"/>
        <w:ind w:left="340" w:hanging="240"/>
      </w:pPr>
      <w:r>
        <w:rPr>
          <w:b/>
          <w:bCs/>
          <w:color w:val="1D4ED8"/>
        </w:rPr>
        <w:t xml:space="preserve">•	</w:t>
      </w:r>
      <w:r>
        <w:rPr>
          <w:b w:val="false"/>
          <w:bCs w:val="false"/>
        </w:rPr>
        <w:t xml:space="preserve">Pendientes insuficientes o contrapendientes con acumulación de agua: recrecido o corrección de la capa de formación de pendientes y nueva comprobación antes de reponer la impermeabilización.</w:t>
      </w:r>
    </w:p>
    <w:p>
      <w:pPr>
        <w:spacing w:after="60"/>
        <w:ind w:left="340" w:hanging="240"/>
      </w:pPr>
      <w:r>
        <w:rPr>
          <w:b/>
          <w:bCs/>
          <w:color w:val="1D4ED8"/>
        </w:rPr>
        <w:t xml:space="preserve">•	</w:t>
      </w:r>
      <w:r>
        <w:rPr>
          <w:b w:val="false"/>
          <w:bCs w:val="false"/>
        </w:rPr>
        <w:t xml:space="preserve">Espesor de aislamiento o de grava inferior al de proyecto: reposición hasta el espesor exigido; no se admite compensación entre zonas.</w:t>
      </w:r>
    </w:p>
    <w:p>
      <w:pPr>
        <w:spacing w:after="60"/>
        <w:ind w:left="340" w:hanging="240"/>
      </w:pPr>
      <w:r>
        <w:rPr>
          <w:b/>
          <w:bCs/>
          <w:color w:val="1D4ED8"/>
        </w:rPr>
        <w:t xml:space="preserve">•	</w:t>
      </w:r>
      <w:r>
        <w:rPr>
          <w:b w:val="false"/>
          <w:bCs w:val="false"/>
        </w:rPr>
        <w:t xml:space="preserve">Producto sin documentación válida o no coincidente con el aprobado: retirada de obra; si ya está colocado, la dirección facultativa decide entre demolición y reposición o aceptación motivada previo informe justificativo del suministrador.</w:t>
      </w:r>
    </w:p>
    <w:p>
      <w:pPr>
        <w:pStyle w:val="Heading3"/>
        <w:spacing w:after="140" w:before="320"/>
      </w:pPr>
      <w:r>
        <w:rPr>
          <w:b w:val="false"/>
          <w:bCs w:val="false"/>
        </w:rPr>
        <w:t xml:space="preserve">Carpintería exterior de aluminio con rotura de puente térmico</w:t>
      </w:r>
    </w:p>
    <w:p>
      <w:pPr>
        <w:spacing w:after="140"/>
      </w:pPr>
      <w:r>
        <w:rPr>
          <w:b/>
          <w:bCs/>
        </w:rPr>
        <w:t xml:space="preserve">Recepción de productos</w:t>
      </w:r>
    </w:p>
    <w:p>
      <w:pPr>
        <w:spacing w:after="60"/>
        <w:ind w:left="340" w:hanging="240"/>
      </w:pPr>
      <w:r>
        <w:rPr>
          <w:b/>
          <w:bCs/>
          <w:color w:val="1D4ED8"/>
        </w:rPr>
        <w:t xml:space="preserve">•	</w:t>
      </w:r>
      <w:r>
        <w:rPr>
          <w:b w:val="false"/>
          <w:bCs w:val="false"/>
        </w:rPr>
        <w:t xml:space="preserve">Declaración de prestaciones y marcado CE de las ventanas y puertas balconeras como producto acabado, con las prestaciones declaradas por el fabricante: permeabilidad al aire, estanquidad al agua, resistencia al viento, transmitancia térmica del conjunto y atenuación acústica.</w:t>
      </w:r>
    </w:p>
    <w:p>
      <w:pPr>
        <w:spacing w:after="60"/>
        <w:ind w:left="340" w:hanging="240"/>
      </w:pPr>
      <w:r>
        <w:rPr>
          <w:b/>
          <w:bCs/>
          <w:color w:val="1D4ED8"/>
        </w:rPr>
        <w:t xml:space="preserve">•	</w:t>
      </w:r>
      <w:r>
        <w:rPr>
          <w:b w:val="false"/>
          <w:bCs w:val="false"/>
        </w:rPr>
        <w:t xml:space="preserve">Ficha técnica del sistema de perfilería: serie, espesor de pared, tipo y continuidad de la rotura de puente térmico, y compatibilidad declarada de los herrajes y accesorios con esa serie.</w:t>
      </w:r>
    </w:p>
    <w:p>
      <w:pPr>
        <w:spacing w:after="60"/>
        <w:ind w:left="340" w:hanging="240"/>
      </w:pPr>
      <w:r>
        <w:rPr>
          <w:b/>
          <w:bCs/>
          <w:color w:val="1D4ED8"/>
        </w:rPr>
        <w:t xml:space="preserve">•	</w:t>
      </w:r>
      <w:r>
        <w:rPr>
          <w:b w:val="false"/>
          <w:bCs w:val="false"/>
        </w:rPr>
        <w:t xml:space="preserve">Certificado del tratamiento superficial (lacado o anodizado) con sello de calidad del aplicador, indicando espesor y color según proyecto.</w:t>
      </w:r>
    </w:p>
    <w:p>
      <w:pPr>
        <w:spacing w:after="60"/>
        <w:ind w:left="340" w:hanging="240"/>
      </w:pPr>
      <w:r>
        <w:rPr>
          <w:b/>
          <w:bCs/>
          <w:color w:val="1D4ED8"/>
        </w:rPr>
        <w:t xml:space="preserve">•	</w:t>
      </w:r>
      <w:r>
        <w:rPr>
          <w:b w:val="false"/>
          <w:bCs w:val="false"/>
        </w:rPr>
        <w:t xml:space="preserve">Documentación del vidrio: composición del acristalamiento, transmitancia térmica, factor solar, atenuación acústica y clase de seguridad de uso donde el proyecto la exija; marcado en el canto o etiqueta del vidrio recibido.</w:t>
      </w:r>
    </w:p>
    <w:p>
      <w:pPr>
        <w:spacing w:after="60"/>
        <w:ind w:left="340" w:hanging="240"/>
      </w:pPr>
      <w:r>
        <w:rPr>
          <w:b/>
          <w:bCs/>
          <w:color w:val="1D4ED8"/>
        </w:rPr>
        <w:t xml:space="preserve">•	</w:t>
      </w:r>
      <w:r>
        <w:rPr>
          <w:b w:val="false"/>
          <w:bCs w:val="false"/>
        </w:rPr>
        <w:t xml:space="preserve">Declaración de prestaciones de los materiales de sellado perimetral, precomprimidos y láminas de estanquidad de premarco, con compatibilidad química declarada frente a aluminio y al soporte de fábrica.</w:t>
      </w:r>
    </w:p>
    <w:p>
      <w:pPr>
        <w:spacing w:after="60"/>
        <w:ind w:left="340" w:hanging="240"/>
      </w:pPr>
      <w:r>
        <w:rPr>
          <w:b/>
          <w:bCs/>
          <w:color w:val="1D4ED8"/>
        </w:rPr>
        <w:t xml:space="preserve">•	</w:t>
      </w:r>
      <w:r>
        <w:rPr>
          <w:b w:val="false"/>
          <w:bCs w:val="false"/>
        </w:rPr>
        <w:t xml:space="preserve">Rechazo en descarga de unidades con perfiles deformados, golpes en el lacado, vidrios con lascas o roturas de canto, o sin protección de transporte.</w:t>
      </w:r>
    </w:p>
    <w:p>
      <w:pPr>
        <w:spacing w:after="140"/>
      </w:pPr>
      <w:r>
        <w:rPr>
          <w:b/>
          <w:bCs/>
        </w:rPr>
        <w:t xml:space="preserve">Control de ejecución</w:t>
      </w:r>
    </w:p>
    <w:p>
      <w:pPr>
        <w:spacing w:after="60"/>
        <w:ind w:left="340" w:hanging="240"/>
      </w:pPr>
      <w:r>
        <w:rPr>
          <w:b/>
          <w:bCs/>
          <w:color w:val="1D4ED8"/>
        </w:rPr>
        <w:t xml:space="preserve">•	</w:t>
      </w:r>
      <w:r>
        <w:rPr>
          <w:b w:val="false"/>
          <w:bCs w:val="false"/>
        </w:rPr>
        <w:t xml:space="preserve">Replanteo de huecos antes del pedido: dimensiones reales de albañilería frente a plano de carpintería, escuadría y plomo del hueco; verificación de que el trasdosado autoportante permite el remate previsto.</w:t>
      </w:r>
    </w:p>
    <w:p>
      <w:pPr>
        <w:spacing w:after="60"/>
        <w:ind w:left="340" w:hanging="240"/>
      </w:pPr>
      <w:r>
        <w:rPr>
          <w:b/>
          <w:bCs/>
          <w:color w:val="1D4ED8"/>
        </w:rPr>
        <w:t xml:space="preserve">•	</w:t>
      </w:r>
      <w:r>
        <w:rPr>
          <w:b w:val="false"/>
          <w:bCs w:val="false"/>
        </w:rPr>
        <w:t xml:space="preserve">Colocación y fijación del premarco: nivelación, aplomado, diagonales, anclaje al soporte y continuidad de la lámina o banda de estanquidad en el encuentro con la fábrica de ladrillo cara vista y con el aislamiento interior.</w:t>
      </w:r>
    </w:p>
    <w:p>
      <w:pPr>
        <w:spacing w:after="60"/>
        <w:ind w:left="340" w:hanging="240"/>
      </w:pPr>
      <w:r>
        <w:rPr>
          <w:b/>
          <w:bCs/>
          <w:color w:val="1D4ED8"/>
        </w:rPr>
        <w:t xml:space="preserve">•	</w:t>
      </w:r>
      <w:r>
        <w:rPr>
          <w:b w:val="false"/>
          <w:bCs w:val="false"/>
        </w:rPr>
        <w:t xml:space="preserve">Continuidad de la rotura de puente térmico en la unión marco-premarco y en el encuentro con el aislamiento del cerramiento, sin puentes metálicos pasantes ni fijaciones que atraviesen la cámara aislante.</w:t>
      </w:r>
    </w:p>
    <w:p>
      <w:pPr>
        <w:spacing w:after="60"/>
        <w:ind w:left="340" w:hanging="240"/>
      </w:pPr>
      <w:r>
        <w:rPr>
          <w:b/>
          <w:bCs/>
          <w:color w:val="1D4ED8"/>
        </w:rPr>
        <w:t xml:space="preserve">•	</w:t>
      </w:r>
      <w:r>
        <w:rPr>
          <w:b w:val="false"/>
          <w:bCs w:val="false"/>
        </w:rPr>
        <w:t xml:space="preserve">Sellado perimetral exterior: limpieza y cebado del soporte, sección y anchura de junta conforme a detalle, ejecución continua sin coqueras ni interrupciones en esquinas.</w:t>
      </w:r>
    </w:p>
    <w:p>
      <w:pPr>
        <w:spacing w:after="60"/>
        <w:ind w:left="340" w:hanging="240"/>
      </w:pPr>
      <w:r>
        <w:rPr>
          <w:b/>
          <w:bCs/>
          <w:color w:val="1D4ED8"/>
        </w:rPr>
        <w:t xml:space="preserve">•	</w:t>
      </w:r>
      <w:r>
        <w:rPr>
          <w:b w:val="false"/>
          <w:bCs w:val="false"/>
        </w:rPr>
        <w:t xml:space="preserve">Acristalamiento: calzos de apoyo y periféricos, holguras de canto, y drenaje y ventilación del galce del vidrio abiertos y no obstruidos por el sellado.</w:t>
      </w:r>
    </w:p>
    <w:p>
      <w:pPr>
        <w:spacing w:after="60"/>
        <w:ind w:left="340" w:hanging="240"/>
      </w:pPr>
      <w:r>
        <w:rPr>
          <w:b/>
          <w:bCs/>
          <w:color w:val="1D4ED8"/>
        </w:rPr>
        <w:t xml:space="preserve">•	</w:t>
      </w:r>
      <w:r>
        <w:rPr>
          <w:b w:val="false"/>
          <w:bCs w:val="false"/>
        </w:rPr>
        <w:t xml:space="preserve">Funcionamiento en obra terminada: maniobra de hojas, cierre en todos los puntos de bloqueo, ausencia de roces, drenajes del marco practicables y estanquidad frente a agua vertida en jamba y vierteaguas. Comprobación contra plano de carpintería y prestaciones declaradas. Frecuencia de comprobaciones: [PENDIENTE: frecuencia según el pliego del proyecto].</w:t>
      </w:r>
    </w:p>
    <w:p>
      <w:pPr>
        <w:spacing w:after="140"/>
      </w:pPr>
      <w:r>
        <w:rPr>
          <w:b/>
          <w:bCs/>
        </w:rPr>
        <w:t xml:space="preserve">Lotes propuestos</w:t>
      </w:r>
    </w:p>
    <w:p>
      <w:pPr>
        <w:spacing w:after="60"/>
        <w:ind w:left="340" w:hanging="240"/>
      </w:pPr>
      <w:r>
        <w:rPr>
          <w:b/>
          <w:bCs/>
          <w:color w:val="1D4ED8"/>
        </w:rPr>
        <w:t xml:space="preserve">•	</w:t>
      </w:r>
      <w:r>
        <w:rPr>
          <w:b w:val="false"/>
          <w:bCs w:val="false"/>
        </w:rPr>
        <w:t xml:space="preserve">Propuesta de lotificación de los 96 m² a aprobar por la dirección facultativa.</w:t>
      </w:r>
    </w:p>
    <w:p>
      <w:pPr>
        <w:spacing w:after="60"/>
        <w:ind w:left="340" w:hanging="240"/>
      </w:pPr>
      <w:r>
        <w:rPr>
          <w:b/>
          <w:bCs/>
          <w:color w:val="1D4ED8"/>
        </w:rPr>
        <w:t xml:space="preserve">•	</w:t>
      </w:r>
      <w:r>
        <w:rPr>
          <w:b w:val="false"/>
          <w:bCs w:val="false"/>
        </w:rPr>
        <w:t xml:space="preserve">Lote por planta de vivienda, separando la carpintería de fachada principal de la de patio si difieren en serie, tipología o exposición.</w:t>
      </w:r>
    </w:p>
    <w:p>
      <w:pPr>
        <w:spacing w:after="60"/>
        <w:ind w:left="340" w:hanging="240"/>
      </w:pPr>
      <w:r>
        <w:rPr>
          <w:b/>
          <w:bCs/>
          <w:color w:val="1D4ED8"/>
        </w:rPr>
        <w:t xml:space="preserve">•	</w:t>
      </w:r>
      <w:r>
        <w:rPr>
          <w:b w:val="false"/>
          <w:bCs w:val="false"/>
        </w:rPr>
        <w:t xml:space="preserve">Lote independiente para las puertas balconeras y para las unidades de dimensión o composición singular no repetidas.</w:t>
      </w:r>
    </w:p>
    <w:p>
      <w:pPr>
        <w:spacing w:after="60"/>
        <w:ind w:left="340" w:hanging="240"/>
      </w:pPr>
      <w:r>
        <w:rPr>
          <w:b/>
          <w:bCs/>
          <w:color w:val="1D4ED8"/>
        </w:rPr>
        <w:t xml:space="preserve">•	</w:t>
      </w:r>
      <w:r>
        <w:rPr>
          <w:b w:val="false"/>
          <w:bCs w:val="false"/>
        </w:rPr>
        <w:t xml:space="preserve">Lote independiente por cada suministrador o por cada serie de perfilería distinta que se incorpore a la obra.</w:t>
      </w:r>
    </w:p>
    <w:p>
      <w:pPr>
        <w:spacing w:after="60"/>
        <w:ind w:left="340" w:hanging="240"/>
      </w:pPr>
      <w:r>
        <w:rPr>
          <w:b/>
          <w:bCs/>
          <w:color w:val="1D4ED8"/>
        </w:rPr>
        <w:t xml:space="preserve">•	</w:t>
      </w:r>
      <w:r>
        <w:rPr>
          <w:b w:val="false"/>
          <w:bCs w:val="false"/>
        </w:rPr>
        <w:t xml:space="preserve">Número de comprobaciones por lote: [PENDIENTE: frecuencia según el pliego del proyecto].</w:t>
      </w:r>
    </w:p>
    <w:p>
      <w:pPr>
        <w:spacing w:after="140"/>
      </w:pPr>
      <w:r>
        <w:rPr>
          <w:b/>
          <w:bCs/>
        </w:rPr>
        <w:t xml:space="preserve">Criterio de no conformidad</w:t>
      </w:r>
    </w:p>
    <w:p>
      <w:pPr>
        <w:spacing w:after="60"/>
        <w:ind w:left="340" w:hanging="240"/>
      </w:pPr>
      <w:r>
        <w:rPr>
          <w:b/>
          <w:bCs/>
          <w:color w:val="1D4ED8"/>
        </w:rPr>
        <w:t xml:space="preserve">•	</w:t>
      </w:r>
      <w:r>
        <w:rPr>
          <w:b w:val="false"/>
          <w:bCs w:val="false"/>
        </w:rPr>
        <w:t xml:space="preserve">Apertura de parte de no conformidad con identificación de la unidad, hueco, lote y comprobación fallida, con comunicación a la dirección facultativa antes de continuar el montaje en huecos del mismo lote.</w:t>
      </w:r>
    </w:p>
    <w:p>
      <w:pPr>
        <w:spacing w:after="60"/>
        <w:ind w:left="340" w:hanging="240"/>
      </w:pPr>
      <w:r>
        <w:rPr>
          <w:b/>
          <w:bCs/>
          <w:color w:val="1D4ED8"/>
        </w:rPr>
        <w:t xml:space="preserve">•	</w:t>
      </w:r>
      <w:r>
        <w:rPr>
          <w:b w:val="false"/>
          <w:bCs w:val="false"/>
        </w:rPr>
        <w:t xml:space="preserve">Falta o insuficiencia de la documentación de recepción: material retenido y no incorporado a la obra hasta su subsanación; si no se aporta, sustitución por producto conforme.</w:t>
      </w:r>
    </w:p>
    <w:p>
      <w:pPr>
        <w:spacing w:after="60"/>
        <w:ind w:left="340" w:hanging="240"/>
      </w:pPr>
      <w:r>
        <w:rPr>
          <w:b/>
          <w:bCs/>
          <w:color w:val="1D4ED8"/>
        </w:rPr>
        <w:t xml:space="preserve">•	</w:t>
      </w:r>
      <w:r>
        <w:rPr>
          <w:b w:val="false"/>
          <w:bCs w:val="false"/>
        </w:rPr>
        <w:t xml:space="preserve">Defecto de ejecución subsanable (sellado discontinuo, drenajes obstruidos, ajuste de herrajes, calzado del vidrio): corrección y nueva comprobación sobre la unidad corregida.</w:t>
      </w:r>
    </w:p>
    <w:p>
      <w:pPr>
        <w:spacing w:after="60"/>
        <w:ind w:left="340" w:hanging="240"/>
      </w:pPr>
      <w:r>
        <w:rPr>
          <w:b/>
          <w:bCs/>
          <w:color w:val="1D4ED8"/>
        </w:rPr>
        <w:t xml:space="preserve">•	</w:t>
      </w:r>
      <w:r>
        <w:rPr>
          <w:b w:val="false"/>
          <w:bCs w:val="false"/>
        </w:rPr>
        <w:t xml:space="preserve">Defecto no subsanable o que afecte a la continuidad de la rotura de puente térmico o a la estanquidad del premarco: desmontaje y reposición de la unidad completa.</w:t>
      </w:r>
    </w:p>
    <w:p>
      <w:pPr>
        <w:spacing w:after="60"/>
        <w:ind w:left="340" w:hanging="240"/>
      </w:pPr>
      <w:r>
        <w:rPr>
          <w:b/>
          <w:bCs/>
          <w:color w:val="1D4ED8"/>
        </w:rPr>
        <w:t xml:space="preserve">•	</w:t>
      </w:r>
      <w:r>
        <w:rPr>
          <w:b w:val="false"/>
          <w:bCs w:val="false"/>
        </w:rPr>
        <w:t xml:space="preserve">Fallo repetido en un mismo lote: ampliación del control al resto de unidades del lote, según lo que determine la dirección facultativa.</w:t>
      </w:r>
    </w:p>
    <w:p>
      <w:pPr>
        <w:spacing w:after="60"/>
        <w:ind w:left="340" w:hanging="240"/>
      </w:pPr>
      <w:r>
        <w:rPr>
          <w:b/>
          <w:bCs/>
          <w:color w:val="1D4ED8"/>
        </w:rPr>
        <w:t xml:space="preserve">•	</w:t>
      </w:r>
      <w:r>
        <w:rPr>
          <w:b w:val="false"/>
          <w:bCs w:val="false"/>
        </w:rPr>
        <w:t xml:space="preserve">Registro del cierre de la no conformidad, con la comprobación de conformidad posterior, en el archivo de control de obra.</w:t>
      </w:r>
    </w:p>
    <w:p>
      <w:pPr>
        <w:pStyle w:val="Heading2"/>
        <w:spacing w:after="140" w:before="320"/>
      </w:pPr>
      <w:r>
        <w:rPr>
          <w:b w:val="false"/>
          <w:bCs w:val="false"/>
        </w:rPr>
        <w:t xml:space="preserve">4. Programa de control de la estructura</w:t>
      </w:r>
    </w:p>
    <w:p>
      <w:pPr>
        <w:pBdr>
          <w:left w:val="single" w:color="CBD5E1" w:sz="12" w:space="12"/>
        </w:pBdr>
        <w:spacing w:after="160" w:before="120"/>
        <w:ind w:left="340"/>
      </w:pPr>
      <w:r>
        <w:rPr>
          <w:b w:val="false"/>
          <w:bCs w:val="false"/>
          <w:color w:val="475569"/>
        </w:rPr>
        <w:t xml:space="preserve">La referencia es el </w:t>
      </w:r>
      <w:r>
        <w:rPr>
          <w:b/>
          <w:bCs/>
          <w:color w:val="475569"/>
        </w:rPr>
        <w:t xml:space="preserve">Código Estructural (RD 470/2021)</w:t>
      </w:r>
      <w:r>
        <w:rPr>
          <w:b w:val="false"/>
          <w:bCs w:val="false"/>
          <w:color w:val="475569"/>
        </w:rPr>
        <w:t xml:space="preserve">. La EHE-08 y la EAE están derogadas desde el 10 de noviembre de 2021: un plan que las cite está citando una instrucción que ya no existe.</w:t>
      </w:r>
    </w:p>
    <w:p>
      <w:pPr>
        <w:spacing w:after="140"/>
      </w:pPr>
      <w:r>
        <w:rPr>
          <w:b w:val="false"/>
          <w:bCs w:val="false"/>
        </w:rPr>
        <w:t xml:space="preserve">Antes de empezar el control en obra, la dirección facultativa aprueba un </w:t>
      </w:r>
      <w:r>
        <w:rPr>
          <w:b/>
          <w:bCs/>
        </w:rPr>
        <w:t xml:space="preserve">programa de control</w:t>
      </w:r>
      <w:r>
        <w:rPr>
          <w:b w:val="false"/>
          <w:bCs w:val="false"/>
        </w:rPr>
        <w:t xml:space="preserve"> preparado sobre este plan, que tiene en cuenta el plan de obra del constructor y su autocontrol, y que contiene al menos: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Aspecto</w:t>
            </w:r>
          </w:p>
        </w:tc>
        <w:tc>
          <w:tcPr>
            <w:shd w:fill="F1F5F9" w:val="clear"/>
            <w:tcMar>
              <w:top w:type="dxa" w:w="80"/>
              <w:left w:type="dxa" w:w="120"/>
              <w:bottom w:type="dxa" w:w="80"/>
              <w:right w:type="dxa" w:w="120"/>
            </w:tcMar>
          </w:tcPr>
          <w:p>
            <w:pPr>
              <w:spacing w:after="0" w:before="0"/>
            </w:pPr>
            <w:r>
              <w:rPr>
                <w:b/>
                <w:bCs/>
                <w:color w:val="0F172A"/>
                <w:sz w:val="19"/>
                <w:szCs w:val="19"/>
              </w:rPr>
              <w:t xml:space="preserve">En esta obra</w:t>
            </w:r>
          </w:p>
        </w:tc>
      </w:tr>
      <w:tr>
        <w:tc>
          <w:tcPr>
            <w:tcMar>
              <w:top w:type="dxa" w:w="80"/>
              <w:left w:type="dxa" w:w="120"/>
              <w:bottom w:type="dxa" w:w="80"/>
              <w:right w:type="dxa" w:w="120"/>
            </w:tcMar>
          </w:tcPr>
          <w:p>
            <w:pPr>
              <w:spacing w:after="0" w:before="0"/>
            </w:pPr>
            <w:r>
              <w:rPr>
                <w:b w:val="false"/>
                <w:bCs w:val="false"/>
                <w:color w:val="0F172A"/>
                <w:sz w:val="19"/>
                <w:szCs w:val="19"/>
              </w:rPr>
              <w:t xml:space="preserve">a)</w:t>
            </w:r>
          </w:p>
        </w:tc>
        <w:tc>
          <w:tcPr>
            <w:tcMar>
              <w:top w:type="dxa" w:w="80"/>
              <w:left w:type="dxa" w:w="120"/>
              <w:bottom w:type="dxa" w:w="80"/>
              <w:right w:type="dxa" w:w="120"/>
            </w:tcMar>
          </w:tcPr>
          <w:p>
            <w:pPr>
              <w:spacing w:after="0" w:before="0"/>
            </w:pPr>
            <w:r>
              <w:rPr>
                <w:b w:val="false"/>
                <w:bCs w:val="false"/>
                <w:color w:val="0F172A"/>
                <w:sz w:val="19"/>
                <w:szCs w:val="19"/>
              </w:rPr>
              <w:t xml:space="preserve">Productos y procesos objeto de control, con sus lotes y unidades de inspección y el criterio de no conformidad</w:t>
            </w:r>
          </w:p>
        </w:tc>
        <w:tc>
          <w:tcPr>
            <w:tcMar>
              <w:top w:type="dxa" w:w="80"/>
              <w:left w:type="dxa" w:w="120"/>
              <w:bottom w:type="dxa" w:w="80"/>
              <w:right w:type="dxa" w:w="120"/>
            </w:tcMar>
          </w:tcPr>
          <w:p>
            <w:pPr>
              <w:spacing w:after="0" w:before="0"/>
            </w:pPr>
            <w:r>
              <w:rPr>
                <w:b w:val="false"/>
                <w:bCs w:val="false"/>
                <w:color w:val="0F172A"/>
                <w:sz w:val="19"/>
                <w:szCs w:val="19"/>
              </w:rPr>
              <w:t xml:space="preserve">Los del punto 3</w:t>
            </w:r>
          </w:p>
        </w:tc>
      </w:tr>
      <w:tr>
        <w:tc>
          <w:tcPr>
            <w:tcMar>
              <w:top w:type="dxa" w:w="80"/>
              <w:left w:type="dxa" w:w="120"/>
              <w:bottom w:type="dxa" w:w="80"/>
              <w:right w:type="dxa" w:w="120"/>
            </w:tcMar>
          </w:tcPr>
          <w:p>
            <w:pPr>
              <w:spacing w:after="0" w:before="0"/>
            </w:pPr>
            <w:r>
              <w:rPr>
                <w:b w:val="false"/>
                <w:bCs w:val="false"/>
                <w:color w:val="0F172A"/>
                <w:sz w:val="19"/>
                <w:szCs w:val="19"/>
              </w:rPr>
              <w:t xml:space="preserve">b)</w:t>
            </w:r>
          </w:p>
        </w:tc>
        <w:tc>
          <w:tcPr>
            <w:tcMar>
              <w:top w:type="dxa" w:w="80"/>
              <w:left w:type="dxa" w:w="120"/>
              <w:bottom w:type="dxa" w:w="80"/>
              <w:right w:type="dxa" w:w="120"/>
            </w:tcMar>
          </w:tcPr>
          <w:p>
            <w:pPr>
              <w:spacing w:after="0" w:before="0"/>
            </w:pPr>
            <w:r>
              <w:rPr>
                <w:b w:val="false"/>
                <w:bCs w:val="false"/>
                <w:color w:val="0F172A"/>
                <w:sz w:val="19"/>
                <w:szCs w:val="19"/>
              </w:rPr>
              <w:t xml:space="preserve">Medios materiales y humanos destinados al control, y qué se subcontrata</w:t>
            </w:r>
          </w:p>
        </w:tc>
        <w:tc>
          <w:tcPr>
            <w:tcMar>
              <w:top w:type="dxa" w:w="80"/>
              <w:left w:type="dxa" w:w="120"/>
              <w:bottom w:type="dxa" w:w="80"/>
              <w:right w:type="dxa" w:w="120"/>
            </w:tcMar>
          </w:tcPr>
          <w:p>
            <w:pPr>
              <w:spacing w:after="0" w:before="0"/>
            </w:pPr>
            <w:r>
              <w:rPr>
                <w:b w:val="false"/>
                <w:bCs w:val="false"/>
                <w:color w:val="0F172A"/>
                <w:sz w:val="19"/>
                <w:szCs w:val="19"/>
              </w:rPr>
              <w:t xml:space="preserve">Laboratorio de Control del Sureste S.L.</w:t>
            </w:r>
          </w:p>
        </w:tc>
      </w:tr>
      <w:tr>
        <w:tc>
          <w:tcPr>
            <w:tcMar>
              <w:top w:type="dxa" w:w="80"/>
              <w:left w:type="dxa" w:w="120"/>
              <w:bottom w:type="dxa" w:w="80"/>
              <w:right w:type="dxa" w:w="120"/>
            </w:tcMar>
          </w:tcPr>
          <w:p>
            <w:pPr>
              <w:spacing w:after="0" w:before="0"/>
            </w:pPr>
            <w:r>
              <w:rPr>
                <w:b w:val="false"/>
                <w:bCs w:val="false"/>
                <w:color w:val="0F172A"/>
                <w:sz w:val="19"/>
                <w:szCs w:val="19"/>
              </w:rPr>
              <w:t xml:space="preserve">c)</w:t>
            </w:r>
          </w:p>
        </w:tc>
        <w:tc>
          <w:tcPr>
            <w:tcMar>
              <w:top w:type="dxa" w:w="80"/>
              <w:left w:type="dxa" w:w="120"/>
              <w:bottom w:type="dxa" w:w="80"/>
              <w:right w:type="dxa" w:w="120"/>
            </w:tcMar>
          </w:tcPr>
          <w:p>
            <w:pPr>
              <w:spacing w:after="0" w:before="0"/>
            </w:pPr>
            <w:r>
              <w:rPr>
                <w:b w:val="false"/>
                <w:bCs w:val="false"/>
                <w:color w:val="0F172A"/>
                <w:sz w:val="19"/>
                <w:szCs w:val="19"/>
              </w:rPr>
              <w:t xml:space="preserve">Programación del control según el autocontrol del constructor y el cronograma de obra</w:t>
            </w:r>
          </w:p>
        </w:tc>
        <w:tc>
          <w:tcPr>
            <w:tcMar>
              <w:top w:type="dxa" w:w="80"/>
              <w:left w:type="dxa" w:w="120"/>
              <w:bottom w:type="dxa" w:w="80"/>
              <w:right w:type="dxa" w:w="120"/>
            </w:tcMar>
          </w:tcPr>
          <w:p>
            <w:pPr>
              <w:spacing w:after="0" w:before="0"/>
            </w:pPr>
            <w:r>
              <w:rPr>
                <w:b w:val="false"/>
                <w:bCs w:val="false"/>
                <w:color w:val="0F172A"/>
                <w:sz w:val="19"/>
                <w:szCs w:val="19"/>
              </w:rPr>
              <w:t xml:space="preserve">[PENDIENTE: cronograma]</w:t>
            </w:r>
          </w:p>
        </w:tc>
      </w:tr>
      <w:tr>
        <w:tc>
          <w:tcPr>
            <w:tcMar>
              <w:top w:type="dxa" w:w="80"/>
              <w:left w:type="dxa" w:w="120"/>
              <w:bottom w:type="dxa" w:w="80"/>
              <w:right w:type="dxa" w:w="120"/>
            </w:tcMar>
          </w:tcPr>
          <w:p>
            <w:pPr>
              <w:spacing w:after="0" w:before="0"/>
            </w:pPr>
            <w:r>
              <w:rPr>
                <w:b w:val="false"/>
                <w:bCs w:val="false"/>
                <w:color w:val="0F172A"/>
                <w:sz w:val="19"/>
                <w:szCs w:val="19"/>
              </w:rPr>
              <w:t xml:space="preserve">d)</w:t>
            </w:r>
          </w:p>
        </w:tc>
        <w:tc>
          <w:tcPr>
            <w:tcMar>
              <w:top w:type="dxa" w:w="80"/>
              <w:left w:type="dxa" w:w="120"/>
              <w:bottom w:type="dxa" w:w="80"/>
              <w:right w:type="dxa" w:w="120"/>
            </w:tcMar>
          </w:tcPr>
          <w:p>
            <w:pPr>
              <w:spacing w:after="0" w:before="0"/>
            </w:pPr>
            <w:r>
              <w:rPr>
                <w:b w:val="false"/>
                <w:bCs w:val="false"/>
                <w:color w:val="0F172A"/>
                <w:sz w:val="19"/>
                <w:szCs w:val="19"/>
              </w:rPr>
              <w:t xml:space="preserve">Responsable de la toma de muestras y procedimiento: lotificación, probetas y conservación hasta el laboratorio</w:t>
            </w:r>
          </w:p>
        </w:tc>
        <w:tc>
          <w:tcPr>
            <w:tcMar>
              <w:top w:type="dxa" w:w="80"/>
              <w:left w:type="dxa" w:w="120"/>
              <w:bottom w:type="dxa" w:w="80"/>
              <w:right w:type="dxa" w:w="120"/>
            </w:tcMar>
          </w:tcPr>
          <w:p>
            <w:pPr>
              <w:spacing w:after="0" w:before="0"/>
            </w:pPr>
            <w:r>
              <w:rPr>
                <w:b w:val="false"/>
                <w:bCs w:val="false"/>
                <w:color w:val="0F172A"/>
                <w:sz w:val="19"/>
                <w:szCs w:val="19"/>
              </w:rPr>
              <w:t xml:space="preserve">[PENDIENTE: responsable de la toma de muestras]</w:t>
            </w:r>
          </w:p>
        </w:tc>
      </w:tr>
      <w:tr>
        <w:tc>
          <w:tcPr>
            <w:tcMar>
              <w:top w:type="dxa" w:w="80"/>
              <w:left w:type="dxa" w:w="120"/>
              <w:bottom w:type="dxa" w:w="80"/>
              <w:right w:type="dxa" w:w="120"/>
            </w:tcMar>
          </w:tcPr>
          <w:p>
            <w:pPr>
              <w:spacing w:after="0" w:before="0"/>
            </w:pPr>
            <w:r>
              <w:rPr>
                <w:b w:val="false"/>
                <w:bCs w:val="false"/>
                <w:color w:val="0F172A"/>
                <w:sz w:val="19"/>
                <w:szCs w:val="19"/>
              </w:rPr>
              <w:t xml:space="preserve">e)</w:t>
            </w:r>
          </w:p>
        </w:tc>
        <w:tc>
          <w:tcPr>
            <w:tcMar>
              <w:top w:type="dxa" w:w="80"/>
              <w:left w:type="dxa" w:w="120"/>
              <w:bottom w:type="dxa" w:w="80"/>
              <w:right w:type="dxa" w:w="120"/>
            </w:tcMar>
          </w:tcPr>
          <w:p>
            <w:pPr>
              <w:spacing w:after="0" w:before="0"/>
            </w:pPr>
            <w:r>
              <w:rPr>
                <w:b w:val="false"/>
                <w:bCs w:val="false"/>
                <w:color w:val="0F172A"/>
                <w:sz w:val="19"/>
                <w:szCs w:val="19"/>
              </w:rPr>
              <w:t xml:space="preserve">Sistema de documentación del control durante la obra</w:t>
            </w:r>
          </w:p>
        </w:tc>
        <w:tc>
          <w:tcPr>
            <w:tcMar>
              <w:top w:type="dxa" w:w="80"/>
              <w:left w:type="dxa" w:w="120"/>
              <w:bottom w:type="dxa" w:w="80"/>
              <w:right w:type="dxa" w:w="120"/>
            </w:tcMar>
          </w:tcPr>
          <w:p>
            <w:pPr>
              <w:spacing w:after="0" w:before="0"/>
            </w:pPr>
            <w:r>
              <w:rPr>
                <w:b w:val="false"/>
                <w:bCs w:val="false"/>
                <w:color w:val="0F172A"/>
                <w:sz w:val="19"/>
                <w:szCs w:val="19"/>
              </w:rPr>
              <w:t xml:space="preserve">Registros firmados, físicos o electrónicos</w:t>
            </w:r>
          </w:p>
        </w:tc>
      </w:tr>
    </w:tbl>
    <w:p>
      <w:pPr>
        <w:spacing w:after="160"/>
      </w:pPr>
    </w:p>
    <w:p>
      <w:pPr>
        <w:spacing w:after="140"/>
      </w:pPr>
      <w:r>
        <w:rPr>
          <w:b w:val="false"/>
          <w:bCs w:val="false"/>
        </w:rPr>
        <w:t xml:space="preserve">El constructor elabora además su </w:t>
      </w:r>
      <w:r>
        <w:rPr>
          <w:b/>
          <w:bCs/>
        </w:rPr>
        <w:t xml:space="preserve">programa de autocontrol</w:t>
      </w:r>
      <w:r>
        <w:rPr>
          <w:b w:val="false"/>
          <w:bCs w:val="false"/>
        </w:rPr>
        <w:t xml:space="preserve">, que aprueba la dirección facultativa antes del inicio de los trabajos, y registra en él todas sus comprobaciones.</w:t>
      </w:r>
    </w:p>
    <w:p>
      <w:pPr>
        <w:pStyle w:val="Heading2"/>
        <w:spacing w:after="140" w:before="320"/>
      </w:pPr>
      <w:r>
        <w:rPr>
          <w:b w:val="false"/>
          <w:bCs w:val="false"/>
        </w:rPr>
        <w:t xml:space="preserve">5. Control de la obra terminada</w:t>
      </w:r>
    </w:p>
    <w:p>
      <w:pPr>
        <w:spacing w:after="140"/>
      </w:pPr>
      <w:r>
        <w:rPr>
          <w:b w:val="false"/>
          <w:bCs w:val="false"/>
        </w:rPr>
        <w:t xml:space="preserve">Sobre el edificio terminado, o sobre sus partes e instalaciones, se hacen las comprobaciones y pruebas de servicio previstas en el proyecto, las ordenadas por la dirección facultativa y las exigidas por la legislación aplicable. [PENDIENTE: pruebas de servicio previstas: estanquidad de cubiertas y fachadas, presión de fontanería, estanquidad de saneamiento, y las que fije el proyecto]</w:t>
      </w:r>
    </w:p>
    <w:p>
      <w:pPr>
        <w:pStyle w:val="Heading2"/>
        <w:spacing w:after="140" w:before="320"/>
      </w:pPr>
      <w:r>
        <w:rPr>
          <w:b w:val="false"/>
          <w:bCs w:val="false"/>
        </w:rPr>
        <w:t xml:space="preserve">6. Documentación y depósito</w:t>
      </w:r>
    </w:p>
    <w:p>
      <w:pPr>
        <w:spacing w:after="140"/>
      </w:pPr>
      <w:r>
        <w:rPr>
          <w:b w:val="false"/>
          <w:bCs w:val="false"/>
        </w:rPr>
        <w:t xml:space="preserve">La obra dispondrá de documentación de seguimiento con, al menos: libro de órdenes y asistencias; libro de incidencias de seguridad y salud; el proyecto con sus anejos y modificaciones autorizados; la licencia de obras y la comunicación de apertura del centro de trabajo; y el certificado final de obra. Terminada la obra, el director de la ejecución deposita la documentación del control en el colegio profesional correspondiente o en la Administración competente.</w:t>
      </w:r>
    </w:p>
    <w:p>
      <w:pPr>
        <w:pStyle w:val="Heading2"/>
        <w:spacing w:after="140" w:before="320"/>
      </w:pPr>
      <w:r>
        <w:rPr>
          <w:b w:val="false"/>
          <w:bCs w:val="false"/>
        </w:rPr>
        <w:t xml:space="preserve">7. Valoración del coste del control</w:t>
      </w:r>
    </w:p>
    <w:p>
      <w:pPr>
        <w:spacing w:after="140"/>
      </w:pPr>
      <w:r>
        <w:rPr>
          <w:b/>
          <w:bCs/>
        </w:rPr>
        <w:t xml:space="preserve">8.400,00 €</w:t>
      </w:r>
      <w:r>
        <w:rPr>
          <w:b w:val="false"/>
          <w:bCs w:val="false"/>
        </w:rPr>
        <w:t xml:space="preserve">, que se incorpora al presupuesto de la obra.</w:t>
      </w:r>
    </w:p>
    <w:p>
      <w:pPr>
        <w:pStyle w:val="Heading2"/>
        <w:spacing w:after="140" w:before="320"/>
      </w:pPr>
      <w:r>
        <w:rPr>
          <w:b w:val="false"/>
          <w:bCs w:val="false"/>
        </w:rPr>
        <w:t xml:space="preserve">8. Aprobación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Director de la ejecución de la obra</w:t>
            </w:r>
          </w:p>
        </w:tc>
        <w:tc>
          <w:tcPr>
            <w:tcMar>
              <w:top w:type="dxa" w:w="80"/>
              <w:left w:type="dxa" w:w="120"/>
              <w:bottom w:type="dxa" w:w="80"/>
              <w:right w:type="dxa" w:w="120"/>
            </w:tcMar>
          </w:tcPr>
          <w:p>
            <w:pPr>
              <w:spacing w:after="0" w:before="0"/>
            </w:pPr>
            <w:r>
              <w:rPr>
                <w:b w:val="false"/>
                <w:bCs w:val="false"/>
                <w:color w:val="0F172A"/>
                <w:sz w:val="19"/>
                <w:szCs w:val="19"/>
              </w:rPr>
              <w:t xml:space="preserve">Luis Ortiz, arquitecto técnico</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r>
        <w:tc>
          <w:tcPr>
            <w:tcMar>
              <w:top w:type="dxa" w:w="80"/>
              <w:left w:type="dxa" w:w="120"/>
              <w:bottom w:type="dxa" w:w="80"/>
              <w:right w:type="dxa" w:w="120"/>
            </w:tcMar>
          </w:tcPr>
          <w:p>
            <w:pPr>
              <w:spacing w:after="0" w:before="0"/>
            </w:pPr>
            <w:r>
              <w:rPr>
                <w:b w:val="false"/>
                <w:bCs w:val="false"/>
                <w:color w:val="0F172A"/>
                <w:sz w:val="19"/>
                <w:szCs w:val="19"/>
              </w:rPr>
              <w:t xml:space="preserve">Director de obra</w:t>
            </w:r>
          </w:p>
        </w:tc>
        <w:tc>
          <w:tcPr>
            <w:tcMar>
              <w:top w:type="dxa" w:w="80"/>
              <w:left w:type="dxa" w:w="120"/>
              <w:bottom w:type="dxa" w:w="80"/>
              <w:right w:type="dxa" w:w="120"/>
            </w:tcMar>
          </w:tcPr>
          <w:p>
            <w:pPr>
              <w:spacing w:after="0" w:before="0"/>
            </w:pPr>
            <w:r>
              <w:rPr>
                <w:b w:val="false"/>
                <w:bCs w:val="false"/>
                <w:color w:val="0F172A"/>
                <w:sz w:val="19"/>
                <w:szCs w:val="19"/>
              </w:rPr>
              <w:t xml:space="preserve">[PENDIENTE: nombre]</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__________</w:t>
            </w:r>
          </w:p>
        </w:tc>
      </w:tr>
    </w:tbl>
    <w:p>
      <w:pPr>
        <w:spacing w:after="160"/>
      </w:pP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bCs/>
        </w:rPr>
        <w:t xml:space="preserve">Las frecuencias de ensayo no las ponemos nosotros.</w:t>
      </w:r>
      <w:r>
        <w:rPr>
          <w:b w:val="false"/>
          <w:bCs w:val="false"/>
        </w:rPr>
        <w:t xml:space="preserve"> Salen del pliego de prescripciones del proyecto o de la reglamentación específica, y salen marcadas como pendientes. Una frecuencia inventada es un lote mal muestreado.</w:t>
      </w:r>
    </w:p>
    <w:p>
      <w:pPr>
        <w:spacing w:after="60"/>
        <w:ind w:left="340" w:hanging="240"/>
      </w:pPr>
      <w:r>
        <w:rPr>
          <w:b/>
          <w:bCs/>
          <w:color w:val="1D4ED8"/>
        </w:rPr>
        <w:t xml:space="preserve">•	</w:t>
      </w:r>
      <w:r>
        <w:rPr>
          <w:b w:val="false"/>
          <w:bCs w:val="false"/>
        </w:rPr>
        <w:t xml:space="preserve">La lotificación que proponemos </w:t>
      </w:r>
      <w:r>
        <w:rPr>
          <w:b/>
          <w:bCs/>
        </w:rPr>
        <w:t xml:space="preserve">la aprueba la dirección facultativa</w:t>
      </w:r>
      <w:r>
        <w:rPr>
          <w:b w:val="false"/>
          <w:bCs w:val="false"/>
        </w:rPr>
        <w:t xml:space="preserve"> dentro del programa de control, teniendo en cuenta el plan de obra del constructor y su autocontrol.</w:t>
      </w:r>
    </w:p>
    <w:p>
      <w:pPr>
        <w:spacing w:after="60"/>
        <w:ind w:left="340" w:hanging="240"/>
      </w:pPr>
      <w:r>
        <w:rPr>
          <w:b/>
          <w:bCs/>
          <w:color w:val="1D4ED8"/>
        </w:rPr>
        <w:t xml:space="preserve">•	</w:t>
      </w:r>
      <w:r>
        <w:rPr>
          <w:b w:val="false"/>
          <w:bCs w:val="false"/>
        </w:rPr>
        <w:t xml:space="preserve">El marcado CE no garantiza que el producto sirva para el uso concreto de tu obra: hay que comprobar que lo declarado coincide con lo que pide el proyecto.</w:t>
      </w:r>
    </w:p>
    <w:p>
      <w:pPr>
        <w:spacing w:after="60"/>
        <w:ind w:left="340" w:hanging="240"/>
      </w:pPr>
      <w:r>
        <w:rPr>
          <w:b/>
          <w:bCs/>
          <w:color w:val="1D4ED8"/>
        </w:rPr>
        <w:t xml:space="preserve">•	</w:t>
      </w:r>
      <w:r>
        <w:rPr>
          <w:b w:val="false"/>
          <w:bCs w:val="false"/>
        </w:rPr>
        <w:t xml:space="preserve">Al terminar, la documentación del control la deposita el director de la ejecución en el colegio profesional o en la Administración competente.</w:t>
      </w:r>
    </w:p>
    <w:p>
      <w:pPr>
        <w:spacing w:after="60"/>
        <w:ind w:left="340" w:hanging="240"/>
      </w:pPr>
      <w:r>
        <w:rPr>
          <w:b/>
          <w:bCs/>
          <w:color w:val="1D4ED8"/>
        </w:rPr>
        <w:t xml:space="preserve">•	</w:t>
      </w:r>
      <w:r>
        <w:rPr>
          <w:b/>
          <w:bCs/>
        </w:rPr>
        <w:t xml:space="preserve">Ojo con las plantillas que citan la EHE-08:</w:t>
      </w:r>
      <w:r>
        <w:rPr>
          <w:b w:val="false"/>
          <w:bCs w:val="false"/>
        </w:rPr>
        <w:t xml:space="preserve"> está derogada desde el 10 de noviembre de 2021 por el Código Estructural. Este plan cita el Código, no la EHE.</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Real Decreto 314/2006, de 17 de marzo, por el que se aprueba el Código Técnico de la Edificación, art. 7.1.4</w:t>
      </w:r>
    </w:p>
    <w:p>
      <w:pPr>
        <w:spacing w:after="140"/>
      </w:pPr>
      <w:r>
        <w:rPr>
          <w:b w:val="false"/>
          <w:bCs w:val="false"/>
        </w:rPr>
        <w:t xml:space="preserve">Durante la construcción de las obras el director de obra y el director de la ejecución de la obra realizarán, según sus respectivas competencias, los controles siguientes: a) Control de recepción en obra de los productos, equipos y sistemas que se suministren a las obras de acuerdo con el artículo 7.2. b) Control de ejecución de la obra de acuerdo con el artículo 7.3; y c) Control de la obra terminada de acuerdo con el artículo 7.4.</w:t>
      </w:r>
    </w:p>
    <w:p>
      <w:pPr>
        <w:spacing w:after="140"/>
      </w:pPr>
      <w:r>
        <w:rPr>
          <w:b w:val="false"/>
          <w:bCs w:val="false"/>
        </w:rPr>
        <w:t xml:space="preserve">https://www.boe.es/buscar/act.php?id=BOE-A-2006-5515</w:t>
      </w:r>
    </w:p>
    <w:p>
      <w:pPr>
        <w:spacing w:after="140"/>
      </w:pPr>
      <w:r>
        <w:rPr>
          <w:b/>
          <w:bCs/>
        </w:rPr>
        <w:t xml:space="preserve">Real Decreto 314/2006, de 17 de marzo, por el que se aprueba el Código Técnico de la Edificación, art. 7.2</w:t>
      </w:r>
    </w:p>
    <w:p>
      <w:pPr>
        <w:spacing w:after="140"/>
      </w:pPr>
      <w:r>
        <w:rPr>
          <w:b w:val="false"/>
          <w:bCs w:val="false"/>
        </w:rPr>
        <w:t xml:space="preserve">El control de recepción tiene por objeto comprobar que las características técnicas de los productos, equipos y sistemas suministrados satisfacen lo exigido en el proyecto. Este control comprenderá: a) El control de la documentación de los suministros. b) El control mediante distintivos de calidad o evaluaciones técnicas de idoneidad; y c) El control mediante ensayos.</w:t>
      </w:r>
    </w:p>
    <w:p>
      <w:pPr>
        <w:spacing w:after="140"/>
      </w:pPr>
      <w:r>
        <w:rPr>
          <w:b w:val="false"/>
          <w:bCs w:val="false"/>
        </w:rPr>
        <w:t xml:space="preserve">https://www.boe.es/buscar/act.php?id=BOE-A-2006-5515</w:t>
      </w:r>
    </w:p>
    <w:p>
      <w:pPr>
        <w:spacing w:after="140"/>
      </w:pPr>
      <w:r>
        <w:rPr>
          <w:b/>
          <w:bCs/>
        </w:rPr>
        <w:t xml:space="preserve">Real Decreto 314/2006, de 17 de marzo, por el que se aprueba el Código Técnico de la Edificación, art. 7.2.1</w:t>
      </w:r>
    </w:p>
    <w:p>
      <w:pPr>
        <w:spacing w:after="140"/>
      </w:pPr>
      <w:r>
        <w:rPr>
          <w:b w:val="false"/>
          <w:bCs w:val="false"/>
        </w:rPr>
        <w:t xml:space="preserve">Los suministradores entregarán al constructor, quien los facilitará al director de ejecución de la obra, los documentos de identificación del producto exigidos por la normativa de obligado cumplimiento: los documentos de origen, hoja de suministro y etiquetado; el certificado de garantía del fabricante, firmado por persona física; y los documentos de conformidad o autorizaciones administrativas exigidas reglamentariamente, incluida la documentación correspondiente al marcado CE.</w:t>
      </w:r>
    </w:p>
    <w:p>
      <w:pPr>
        <w:spacing w:after="140"/>
      </w:pPr>
      <w:r>
        <w:rPr>
          <w:b w:val="false"/>
          <w:bCs w:val="false"/>
        </w:rPr>
        <w:t xml:space="preserve">https://www.boe.es/buscar/act.php?id=BOE-A-2006-5515</w:t>
      </w:r>
    </w:p>
    <w:p>
      <w:pPr>
        <w:spacing w:after="140"/>
      </w:pPr>
      <w:r>
        <w:rPr>
          <w:b/>
          <w:bCs/>
        </w:rPr>
        <w:t xml:space="preserve">Real Decreto 314/2006, de 17 de marzo, por el que se aprueba el Código Técnico de la Edificación, art. 7.2.3</w:t>
      </w:r>
    </w:p>
    <w:p>
      <w:pPr>
        <w:spacing w:after="140"/>
      </w:pPr>
      <w:r>
        <w:rPr>
          <w:b w:val="false"/>
          <w:bCs w:val="false"/>
        </w:rPr>
        <w:t xml:space="preserve">La realización de este control se efectuará de acuerdo con los criterios establecidos en el proyecto o indicados por la dirección facultativa sobre el muestreo del producto, los ensayos a realizar, los criterios de aceptación y rechazo y las acciones a adoptar.</w:t>
      </w:r>
    </w:p>
    <w:p>
      <w:pPr>
        <w:spacing w:after="140"/>
      </w:pPr>
      <w:r>
        <w:rPr>
          <w:b w:val="false"/>
          <w:bCs w:val="false"/>
        </w:rPr>
        <w:t xml:space="preserve">https://www.boe.es/buscar/act.php?id=BOE-A-2006-5515</w:t>
      </w:r>
    </w:p>
    <w:p>
      <w:pPr>
        <w:spacing w:after="140"/>
      </w:pPr>
      <w:r>
        <w:rPr>
          <w:b/>
          <w:bCs/>
        </w:rPr>
        <w:t xml:space="preserve">Real Decreto 314/2006, de 17 de marzo, por el que se aprueba el Código Técnico de la Edificación, art. 7.3.1</w:t>
      </w:r>
    </w:p>
    <w:p>
      <w:pPr>
        <w:spacing w:after="140"/>
      </w:pPr>
      <w:r>
        <w:rPr>
          <w:b w:val="false"/>
          <w:bCs w:val="false"/>
        </w:rPr>
        <w:t xml:space="preserve">Durante la construcción, el director de la ejecución de la obra controlará la ejecución de cada unidad de obra verificando su replanteo, los materiales que se utilicen, la correcta ejecución y disposición de los elementos constructivos y de las instalaciones, así como las verificaciones y demás controles a realizar para comprobar su conformidad con lo indicado en el proyecto, la legislación aplicable, las normas de buena práctica constructiva y las instrucciones de la dirección facultativa.</w:t>
      </w:r>
    </w:p>
    <w:p>
      <w:pPr>
        <w:spacing w:after="140"/>
      </w:pPr>
      <w:r>
        <w:rPr>
          <w:b w:val="false"/>
          <w:bCs w:val="false"/>
        </w:rPr>
        <w:t xml:space="preserve">https://www.boe.es/buscar/act.php?id=BOE-A-2006-5515</w:t>
      </w:r>
    </w:p>
    <w:p>
      <w:pPr>
        <w:spacing w:after="140"/>
      </w:pPr>
      <w:r>
        <w:rPr>
          <w:b/>
          <w:bCs/>
        </w:rPr>
        <w:t xml:space="preserve">Real Decreto 314/2006, de 17 de marzo, por el que se aprueba el Código Técnico de la Edificación, art. 7.4</w:t>
      </w:r>
    </w:p>
    <w:p>
      <w:pPr>
        <w:spacing w:after="140"/>
      </w:pPr>
      <w:r>
        <w:rPr>
          <w:b w:val="false"/>
          <w:bCs w:val="false"/>
        </w:rPr>
        <w:t xml:space="preserve">En la obra terminada, bien sobre el edificio en su conjunto, o bien sobre sus diferentes partes y sus instalaciones, parcial o totalmente terminadas, deben realizarse, además de las que puedan establecerse con carácter voluntario, las comprobaciones y pruebas de servicio previstas en el proyecto u ordenadas por la dirección facultativa y las exigidas por la legislación aplicable.</w:t>
      </w:r>
    </w:p>
    <w:p>
      <w:pPr>
        <w:spacing w:after="140"/>
      </w:pPr>
      <w:r>
        <w:rPr>
          <w:b w:val="false"/>
          <w:bCs w:val="false"/>
        </w:rPr>
        <w:t xml:space="preserve">https://www.boe.es/buscar/act.php?id=BOE-A-2006-5515</w:t>
      </w:r>
    </w:p>
    <w:p>
      <w:pPr>
        <w:spacing w:after="140"/>
      </w:pPr>
      <w:r>
        <w:rPr>
          <w:b/>
          <w:bCs/>
        </w:rPr>
        <w:t xml:space="preserve">Real Decreto 314/2006, de 17 de marzo, por el que se aprueba el Código Técnico de la Edificación, art. anejo II.1</w:t>
      </w:r>
    </w:p>
    <w:p>
      <w:pPr>
        <w:spacing w:after="140"/>
      </w:pPr>
      <w:r>
        <w:rPr>
          <w:b w:val="false"/>
          <w:bCs w:val="false"/>
        </w:rPr>
        <w:t xml:space="preserve">Las obras de edificación dispondrán de una documentación de seguimiento que se compondrá, al menos, de: a) El Libro de Órdenes y Asistencias. b) El Libro de Incidencias en materia de seguridad y salud. c) El proyecto, sus anejos y modificaciones debidamente autorizados por el director de obra. d) La licencia de obras, la apertura del centro de trabajo y, en su caso, otras autorizaciones administrativas; y e) El certificado final de la obra.</w:t>
      </w:r>
    </w:p>
    <w:p>
      <w:pPr>
        <w:spacing w:after="140"/>
      </w:pPr>
      <w:r>
        <w:rPr>
          <w:b w:val="false"/>
          <w:bCs w:val="false"/>
        </w:rPr>
        <w:t xml:space="preserve">https://www.boe.es/buscar/act.php?id=BOE-A-2006-5515</w:t>
      </w:r>
    </w:p>
    <w:p>
      <w:pPr>
        <w:spacing w:after="140"/>
      </w:pPr>
      <w:r>
        <w:rPr>
          <w:b/>
          <w:bCs/>
        </w:rPr>
        <w:t xml:space="preserve">Real Decreto 314/2006, de 17 de marzo, por el que se aprueba el Código Técnico de la Edificación, art. anejo II.2</w:t>
      </w:r>
    </w:p>
    <w:p>
      <w:pPr>
        <w:spacing w:after="140"/>
      </w:pPr>
      <w:r>
        <w:rPr>
          <w:b w:val="false"/>
          <w:bCs w:val="false"/>
        </w:rPr>
        <w:t xml:space="preserve">El control de calidad de las obras realizado incluirá el control de recepción de productos, los controles de la ejecución y de la obra terminada. El director de la ejecución de la obra recopilará la documentación del control realizado, verificando que es conforme con lo establecido en el proyecto, sus anejos y modificaciones.</w:t>
      </w:r>
    </w:p>
    <w:p>
      <w:pPr>
        <w:spacing w:after="140"/>
      </w:pPr>
      <w:r>
        <w:rPr>
          <w:b w:val="false"/>
          <w:bCs w:val="false"/>
        </w:rPr>
        <w:t xml:space="preserve">https://www.boe.es/buscar/act.php?id=BOE-A-2006-5515</w:t>
      </w:r>
    </w:p>
    <w:p>
      <w:pPr>
        <w:spacing w:after="140"/>
      </w:pPr>
      <w:r>
        <w:rPr>
          <w:b/>
          <w:bCs/>
        </w:rPr>
        <w:t xml:space="preserve">Real Decreto 314/2006, de 17 de marzo, por el que se aprueba el Código Técnico de la Edificación, art. anejo II.2.2</w:t>
      </w:r>
    </w:p>
    <w:p>
      <w:pPr>
        <w:spacing w:after="140"/>
      </w:pPr>
      <w:r>
        <w:rPr>
          <w:b w:val="false"/>
          <w:bCs w:val="false"/>
        </w:rPr>
        <w:t xml:space="preserve">Una vez finalizada la obra, la documentación del seguimiento del control será depositada por el director de la ejecución de la obra en el Colegio Profesional correspondiente o, en su caso, en la Administración Pública competente.</w:t>
      </w:r>
    </w:p>
    <w:p>
      <w:pPr>
        <w:spacing w:after="140"/>
      </w:pPr>
      <w:r>
        <w:rPr>
          <w:b w:val="false"/>
          <w:bCs w:val="false"/>
        </w:rPr>
        <w:t xml:space="preserve">https://www.boe.es/buscar/act.php?id=BOE-A-2006-5515</w:t>
      </w:r>
    </w:p>
    <w:p>
      <w:pPr>
        <w:spacing w:after="140"/>
      </w:pPr>
      <w:r>
        <w:rPr>
          <w:b/>
          <w:bCs/>
        </w:rPr>
        <w:t xml:space="preserve">Real Decreto 470/2021, de 29 de junio, por el que se aprueba el Código Estructural, art. disposición derogatoria única</w:t>
      </w:r>
    </w:p>
    <w:p>
      <w:pPr>
        <w:spacing w:after="140"/>
      </w:pPr>
      <w:r>
        <w:rPr>
          <w:b w:val="false"/>
          <w:bCs w:val="false"/>
        </w:rPr>
        <w:t xml:space="preserve">Quedan derogados el Real Decreto 1247/2008, de 18 de julio, por el que se aprueba la instrucción de hormigón estructural (EHE-08), y el Real Decreto 751/2011, de 27 de mayo, por el que se aprueba la Instrucción de Acero Estructural (EAE).</w:t>
      </w:r>
    </w:p>
    <w:p>
      <w:pPr>
        <w:spacing w:after="140"/>
      </w:pPr>
      <w:r>
        <w:rPr>
          <w:b w:val="false"/>
          <w:bCs w:val="false"/>
        </w:rPr>
        <w:t xml:space="preserve">https://www.boe.es/buscar/act.php?id=BOE-A-2021-13681</w:t>
      </w:r>
    </w:p>
    <w:p>
      <w:pPr>
        <w:spacing w:after="140"/>
      </w:pPr>
      <w:r>
        <w:rPr>
          <w:b/>
          <w:bCs/>
        </w:rPr>
        <w:t xml:space="preserve">Real Decreto 470/2021, de 29 de junio, por el que se aprueba el Código Estructural, art. 19</w:t>
      </w:r>
    </w:p>
    <w:p>
      <w:pPr>
        <w:spacing w:after="140"/>
      </w:pPr>
      <w:r>
        <w:rPr>
          <w:b w:val="false"/>
          <w:bCs w:val="false"/>
        </w:rPr>
        <w:t xml:space="preserve">En el plan de control de calidad del proyecto de ejecución de una obra se incluirá el plan de control de la estructura, indicando las comprobaciones y ensayos que se consideren oportunos. Así mismo se deberá valorar el coste total del control de calidad de la estructura. Antes de iniciar las actividades de control en la obra, la dirección facultativa aprobará un programa de control, preparado de acuerdo con el plan de control definido en el proyecto, y que tenga en cuenta el cronograma o plan de obra del constructor y su procedimiento de autocontrol.</w:t>
      </w:r>
    </w:p>
    <w:p>
      <w:pPr>
        <w:spacing w:after="140"/>
      </w:pPr>
      <w:r>
        <w:rPr>
          <w:b w:val="false"/>
          <w:bCs w:val="false"/>
        </w:rPr>
        <w:t xml:space="preserve">https://www.boe.es/buscar/act.php?id=BOE-A-2021-13681</w:t>
      </w:r>
    </w:p>
    <w:p>
      <w:pPr>
        <w:spacing w:after="140"/>
      </w:pPr>
      <w:r>
        <w:rPr>
          <w:b/>
          <w:bCs/>
        </w:rPr>
        <w:t xml:space="preserve">Real Decreto 470/2021, de 29 de junio, por el que se aprueba el Código Estructural, art. 19</w:t>
      </w:r>
    </w:p>
    <w:p>
      <w:pPr>
        <w:spacing w:after="140"/>
      </w:pPr>
      <w:r>
        <w:rPr>
          <w:b w:val="false"/>
          <w:bCs w:val="false"/>
        </w:rPr>
        <w:t xml:space="preserve">El programa de control contemplará, al menos, los siguientes aspectos: a) la identificación de productos y procesos objeto de control, definiendo los correspondientes lotes de control y unidades de inspección, describiendo para cada caso las comprobaciones a realizar y los criterios a seguir en el caso de no conformidad; b) la previsión de medios materiales y humanos destinados al control; c) la programación del control, en función del procedimiento de autocontrol del constructor y del cronograma de obra; d) la designación del responsable encargado de la toma de muestras y el procedimiento para la toma de estas muestras; y e) el sistema de documentación del control que se empleará durante la obra.</w:t>
      </w:r>
    </w:p>
    <w:p>
      <w:pPr>
        <w:spacing w:after="140"/>
      </w:pPr>
      <w:r>
        <w:rPr>
          <w:b w:val="false"/>
          <w:bCs w:val="false"/>
        </w:rPr>
        <w:t xml:space="preserve">https://www.boe.es/buscar/act.php?id=BOE-A-2021-13681</w:t>
      </w:r>
    </w:p>
    <w:p>
      <w:pPr>
        <w:spacing w:after="140"/>
      </w:pPr>
      <w:r>
        <w:rPr>
          <w:b/>
          <w:bCs/>
        </w:rPr>
        <w:t xml:space="preserve">Real Decreto 470/2021, de 29 de junio, por el que se aprueba el Código Estructural, art. 21</w:t>
      </w:r>
    </w:p>
    <w:p>
      <w:pPr>
        <w:spacing w:after="140"/>
      </w:pPr>
      <w:r>
        <w:rPr>
          <w:b w:val="false"/>
          <w:bCs w:val="false"/>
        </w:rPr>
        <w:t xml:space="preserve">La dirección facultativa, teniendo en cuenta que el marcado CE no garantiza su idoneidad para un uso concreto, y una vez validado el control de recepción, será la responsable de velar porque el producto incorporado en la obra es adecuado a su uso y cumple con las especificaciones requeridas. Se verificará que los valores declarados en los documentos que acompañan al marcado CE son conformes con las especificaciones indicadas en el proyecto.</w:t>
      </w:r>
    </w:p>
    <w:p>
      <w:pPr>
        <w:spacing w:after="140"/>
      </w:pPr>
      <w:r>
        <w:rPr>
          <w:b w:val="false"/>
          <w:bCs w:val="false"/>
        </w:rPr>
        <w:t xml:space="preserve">https://www.boe.es/buscar/act.php?id=BOE-A-2021-13681</w:t>
      </w:r>
    </w:p>
    <w:p>
      <w:pPr>
        <w:spacing w:after="140"/>
      </w:pPr>
      <w:r>
        <w:rPr>
          <w:b/>
          <w:bCs/>
        </w:rPr>
        <w:t xml:space="preserve">Real Decreto 470/2021, de 29 de junio, por el que se aprueba el Código Estructural, art. 22.1</w:t>
      </w:r>
    </w:p>
    <w:p>
      <w:pPr>
        <w:spacing w:after="140"/>
      </w:pPr>
      <w:r>
        <w:rPr>
          <w:b w:val="false"/>
          <w:bCs w:val="false"/>
        </w:rPr>
        <w:t xml:space="preserve">El constructor tiene la obligación de definir y desarrollar un sistema de seguimiento que permita comprobar la conformidad de la ejecución. Elaborará el plan de obra y el programa de autocontrol de la ejecución de la estructura, desarrollando el plan de control definido en el proyecto. El programa de autocontrol deberá ser aprobado por la dirección facultativa antes del inicio de los trabajos, y los resultados de todas las comprobaciones deberán registrarse en un soporte, físico o electrónico, a disposición de la dirección facultativa.</w:t>
      </w:r>
    </w:p>
    <w:p>
      <w:pPr>
        <w:spacing w:after="140"/>
      </w:pPr>
      <w:r>
        <w:rPr>
          <w:b w:val="false"/>
          <w:bCs w:val="false"/>
        </w:rPr>
        <w:t xml:space="preserve">https://www.boe.es/buscar/act.php?id=BOE-A-2021-13681</w:t>
      </w:r>
    </w:p>
    <w:p>
      <w:pPr>
        <w:spacing w:after="140"/>
      </w:pPr>
      <w:r>
        <w:rPr>
          <w:b/>
          <w:bCs/>
        </w:rPr>
        <w:t xml:space="preserve">Real Decreto 470/2021, de 29 de junio, por el que se aprueba el Código Estructural, art. 22</w:t>
      </w:r>
    </w:p>
    <w:p>
      <w:pPr>
        <w:spacing w:after="140"/>
      </w:pPr>
      <w:r>
        <w:rPr>
          <w:b w:val="false"/>
          <w:bCs w:val="false"/>
        </w:rPr>
        <w:t xml:space="preserve">Durante la construcción de la estructura, la dirección facultativa controlará la ejecución de cada parte de la misma, bien directamente o a través de una entidad de control, verificando su replanteo, los productos que se utilicen y la correcta ejecución y disposición de los elementos constructivos. El control de la ejecución comprenderá la comprobación del control de producción del constructor y la realización de inspecciones de los procesos durante la ejecución.</w:t>
      </w:r>
    </w:p>
    <w:p>
      <w:pPr>
        <w:spacing w:after="140"/>
      </w:pPr>
      <w:r>
        <w:rPr>
          <w:b w:val="false"/>
          <w:bCs w:val="false"/>
        </w:rPr>
        <w:t xml:space="preserve">https://www.boe.es/buscar/act.php?id=BOE-A-2021-13681</w:t>
      </w:r>
    </w:p>
    <w:p>
      <w:pPr>
        <w:spacing w:after="140"/>
      </w:pPr>
      <w:r>
        <w:rPr>
          <w:b/>
          <w:bCs/>
        </w:rPr>
        <w:t xml:space="preserve">Real Decreto 470/2021, de 29 de junio, por el que se aprueba el Código Estructural, art. 23.1</w:t>
      </w:r>
    </w:p>
    <w:p>
      <w:pPr>
        <w:spacing w:after="140"/>
      </w:pPr>
      <w:r>
        <w:rPr>
          <w:b w:val="false"/>
          <w:bCs w:val="false"/>
        </w:rPr>
        <w:t xml:space="preserve">Todas las actividades relacionadas con el control deberán quedar documentadas en los correspondientes registros, físicos o electrónicos, que permitan disponer de las evidencias documentales de todas las comprobaciones, actas de ensayo y partes de inspección que se hayan llevado a cabo, y han de ser incluidas, una vez finalizada la obra, en la documentación final de la misma. Los registros estarán firmados por la persona física responsable de llevar a cabo la actividad de control.</w:t>
      </w:r>
    </w:p>
    <w:p>
      <w:pPr>
        <w:spacing w:after="140"/>
      </w:pPr>
      <w:r>
        <w:rPr>
          <w:b w:val="false"/>
          <w:bCs w:val="false"/>
        </w:rPr>
        <w:t xml:space="preserve">https://www.boe.es/buscar/act.php?id=BOE-A-2021-13681</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Edificio de 14 viviendas con estructura de hormigón</dc:title>
  <dc:creator>tramitaIA</dc:creator>
  <cp:lastModifiedBy>Un-named</cp:lastModifiedBy>
  <cp:revision>1</cp:revision>
  <dcterms:created xsi:type="dcterms:W3CDTF">2026-09-07T16:57:25.539Z</dcterms:created>
  <dcterms:modified xsi:type="dcterms:W3CDTF">2026-09-07T16:57:25.539Z</dcterms:modified>
</cp:coreProperties>
</file>

<file path=docProps/custom.xml><?xml version="1.0" encoding="utf-8"?>
<Properties xmlns="http://schemas.openxmlformats.org/officeDocument/2006/custom-properties" xmlns:vt="http://schemas.openxmlformats.org/officeDocument/2006/docPropsVTypes"/>
</file>