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D4ED8"/>
          <w:sz w:val="18"/>
          <w:szCs w:val="18"/>
        </w:rPr>
        <w:t xml:space="preserve">PROYECTO DE INSTALACIÓN DE SISTEMA</w:t>
      </w:r>
    </w:p>
    <w:p>
      <w:pPr>
        <w:pStyle w:val="Title"/>
        <w:spacing w:after="120"/>
      </w:pPr>
      <w:r>
        <w:rPr>
          <w:b/>
          <w:bCs/>
          <w:color w:val="0F172A"/>
          <w:sz w:val="40"/>
          <w:szCs w:val="40"/>
        </w:rPr>
        <w:t xml:space="preserve">Sistema de la joyería del otro ejemplo, ya proyectado</w:t>
      </w:r>
    </w:p>
    <w:p>
      <w:pPr>
        <w:pBdr>
          <w:bottom w:val="single" w:color="CBD5E1" w:sz="6" w:space="10"/>
        </w:pBdr>
        <w:spacing w:after="320"/>
      </w:pPr>
      <w:r>
        <w:rPr>
          <w:b w:val="false"/>
          <w:bCs w:val="false"/>
          <w:i/>
          <w:iCs/>
          <w:color w:val="475569"/>
          <w:sz w:val="19"/>
          <w:szCs w:val="19"/>
        </w:rPr>
        <w:t xml:space="preserve">Ejemplo real generado con el mismo motor que sirve a los clientes. Es el mismo local del ejemplo de medidas obligatorias, ahora con el sistema proyectado. Va a propósito un contacto magnético de grado 2 en un sistema de grado 3, que es el error que se cuela al copiar el material de otra obra. Generado el 3 de septiembre de 2026.</w:t>
      </w:r>
    </w:p>
    <w:p>
      <w:pPr>
        <w:spacing w:after="200"/>
      </w:pPr>
      <w:r>
        <w:rPr>
          <w:b/>
          <w:bCs/>
          <w:color w:val="1D4ED8"/>
          <w:sz w:val="18"/>
          <w:szCs w:val="18"/>
        </w:rPr>
        <w:t xml:space="preserve">PROYECTO DE INSTALACIÓN — JOYERÍA VEGA</w:t>
      </w:r>
    </w:p>
    <w:p>
      <w:pPr>
        <w:pStyle w:val="Heading1"/>
        <w:spacing w:after="140" w:before="0"/>
      </w:pPr>
      <w:r>
        <w:rPr>
          <w:b w:val="false"/>
          <w:bCs w:val="false"/>
        </w:rPr>
        <w:t xml:space="preserve">Proyecto de instalación de sistema de seguridad</w:t>
      </w:r>
    </w:p>
    <w:p>
      <w:pPr>
        <w:spacing w:after="140"/>
      </w:pPr>
      <w:r>
        <w:rPr>
          <w:b/>
          <w:bCs/>
        </w:rPr>
        <w:t xml:space="preserve">Joyería Vega</w:t>
      </w:r>
      <w:r>
        <w:rPr>
          <w:b w:val="false"/>
          <w:bCs w:val="false"/>
        </w:rPr>
        <w:t xml:space="preserve"> · Calle Mayor 4, bajo, Molina de Segura Empresa instaladora: Seguridad Levante Alarmas S.L. · Nº de registro ES-4021</w:t>
      </w:r>
    </w:p>
    <w:p>
      <w:pPr>
        <w:pBdr>
          <w:left w:val="single" w:color="CBD5E1" w:sz="12" w:space="12"/>
        </w:pBdr>
        <w:spacing w:after="160" w:before="120"/>
        <w:ind w:left="340"/>
      </w:pPr>
      <w:r>
        <w:rPr>
          <w:b w:val="false"/>
          <w:bCs w:val="false"/>
          <w:color w:val="475569"/>
        </w:rPr>
        <w:t xml:space="preserve">Redactado en cumplimiento del artículo 42.2 del Reglamento de Seguridad Privada y elaborado de acuerdo con la Norma UNE-CLC/TS 50131-7, conforme exige el artículo 4.1 de la Orden INT/316/2011.</w:t>
      </w:r>
    </w:p>
    <w:p>
      <w:pPr>
        <w:pStyle w:val="Heading2"/>
        <w:spacing w:after="140" w:before="320"/>
      </w:pPr>
      <w:r>
        <w:rPr>
          <w:b w:val="false"/>
          <w:bCs w:val="false"/>
        </w:rPr>
        <w:t xml:space="preserve">1. Grado de seguridad del sistema</w:t>
      </w:r>
    </w:p>
    <w:p>
      <w:pPr>
        <w:spacing w:after="140"/>
      </w:pPr>
      <w:r>
        <w:rPr>
          <w:b/>
          <w:bCs/>
        </w:rPr>
        <w:t xml:space="preserve">Grado 3, de riesgo medio/alto.</w:t>
      </w:r>
    </w:p>
    <w:p>
      <w:pPr>
        <w:spacing w:after="140"/>
      </w:pPr>
      <w:r>
        <w:rPr>
          <w:b w:val="false"/>
          <w:bCs w:val="false"/>
        </w:rPr>
        <w:t xml:space="preserve">El grado 3 está destinado a los establecimientos obligados a disponer de medidas de seguridad, con independencia de su tamaño.</w:t>
      </w:r>
    </w:p>
    <w:p>
      <w:pPr>
        <w:pBdr>
          <w:left w:val="single" w:color="CBD5E1" w:sz="12" w:space="12"/>
        </w:pBdr>
        <w:spacing w:after="160" w:before="120"/>
        <w:ind w:left="340"/>
      </w:pPr>
      <w:r>
        <w:rPr>
          <w:b w:val="false"/>
          <w:bCs w:val="false"/>
          <w:color w:val="475569"/>
        </w:rPr>
        <w:t xml:space="preserve">Grado 3, de riesgo medio/alto, destinado a establecimientos obligados a disponer de medidas de seguridad, así como otras instalaciones comerciales o industriales a las que por su actividad u otras circunstancias se les exija disponer de conexión a central de alarmas o, en su caso, a un centro de control.</w:t>
      </w:r>
    </w:p>
    <w:p>
      <w:pPr>
        <w:spacing w:after="140"/>
      </w:pPr>
      <w:r>
        <w:rPr>
          <w:b w:val="false"/>
          <w:bCs w:val="false"/>
        </w:rPr>
        <w:t xml:space="preserve">_Orden INT/316/2011, art. 2.1._</w:t>
      </w:r>
    </w:p>
    <w:p>
      <w:pPr>
        <w:pStyle w:val="Heading2"/>
        <w:spacing w:after="140" w:before="320"/>
      </w:pPr>
      <w:r>
        <w:rPr>
          <w:b w:val="false"/>
          <w:bCs w:val="false"/>
        </w:rPr>
        <w:t xml:space="preserve">2. Riesgo que se pretende cubrir</w:t>
      </w:r>
    </w:p>
    <w:p>
      <w:pPr>
        <w:spacing w:after="140"/>
      </w:pPr>
      <w:r>
        <w:rPr>
          <w:b w:val="false"/>
          <w:bCs w:val="false"/>
        </w:rPr>
        <w:t xml:space="preserve">Robo con fuerza en horario de cierre y alunizaje sobre el escaparate. El local tiene fachada a calle peatonal y un patio interior compartido con la finca contigua, con ventana al almacén.</w:t>
      </w:r>
    </w:p>
    <w:p>
      <w:pPr>
        <w:pStyle w:val="Heading2"/>
        <w:spacing w:after="140" w:before="320"/>
      </w:pPr>
      <w:r>
        <w:rPr>
          <w:b w:val="false"/>
          <w:bCs w:val="false"/>
        </w:rPr>
        <w:t xml:space="preserve">3. Características arquitectónicas del recinto</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Zona</w:t>
            </w:r>
          </w:p>
        </w:tc>
        <w:tc>
          <w:tcPr>
            <w:shd w:fill="F1F5F9" w:val="clear"/>
            <w:tcMar>
              <w:top w:type="dxa" w:w="80"/>
              <w:left w:type="dxa" w:w="120"/>
              <w:bottom w:type="dxa" w:w="80"/>
              <w:right w:type="dxa" w:w="120"/>
            </w:tcMar>
          </w:tcPr>
          <w:p>
            <w:pPr>
              <w:spacing w:after="0" w:before="0"/>
            </w:pPr>
            <w:r>
              <w:rPr>
                <w:b/>
                <w:bCs/>
                <w:color w:val="0F172A"/>
                <w:sz w:val="19"/>
                <w:szCs w:val="19"/>
              </w:rPr>
              <w:t xml:space="preserve">Superficie</w:t>
            </w:r>
          </w:p>
        </w:tc>
        <w:tc>
          <w:tcPr>
            <w:shd w:fill="F1F5F9" w:val="clear"/>
            <w:tcMar>
              <w:top w:type="dxa" w:w="80"/>
              <w:left w:type="dxa" w:w="120"/>
              <w:bottom w:type="dxa" w:w="80"/>
              <w:right w:type="dxa" w:w="120"/>
            </w:tcMar>
          </w:tcPr>
          <w:p>
            <w:pPr>
              <w:spacing w:after="0" w:before="0"/>
            </w:pPr>
            <w:r>
              <w:rPr>
                <w:b/>
                <w:bCs/>
                <w:color w:val="0F172A"/>
                <w:sz w:val="19"/>
                <w:szCs w:val="19"/>
              </w:rPr>
              <w:t xml:space="preserve">Aberturas</w:t>
            </w:r>
          </w:p>
        </w:tc>
        <w:tc>
          <w:tcPr>
            <w:shd w:fill="F1F5F9" w:val="clear"/>
            <w:tcMar>
              <w:top w:type="dxa" w:w="80"/>
              <w:left w:type="dxa" w:w="120"/>
              <w:bottom w:type="dxa" w:w="80"/>
              <w:right w:type="dxa" w:w="120"/>
            </w:tcMar>
          </w:tcPr>
          <w:p>
            <w:pPr>
              <w:spacing w:after="0" w:before="0"/>
            </w:pPr>
            <w:r>
              <w:rPr>
                <w:b/>
                <w:bCs/>
                <w:color w:val="0F172A"/>
                <w:sz w:val="19"/>
                <w:szCs w:val="19"/>
              </w:rPr>
              <w:t xml:space="preserve">Descripción</w:t>
            </w:r>
          </w:p>
        </w:tc>
      </w:tr>
      <w:tr>
        <w:tc>
          <w:tcPr>
            <w:tcMar>
              <w:top w:type="dxa" w:w="80"/>
              <w:left w:type="dxa" w:w="120"/>
              <w:bottom w:type="dxa" w:w="80"/>
              <w:right w:type="dxa" w:w="120"/>
            </w:tcMar>
          </w:tcPr>
          <w:p>
            <w:pPr>
              <w:spacing w:after="0" w:before="0"/>
            </w:pPr>
            <w:r>
              <w:rPr>
                <w:b w:val="false"/>
                <w:bCs w:val="false"/>
                <w:color w:val="0F172A"/>
                <w:sz w:val="19"/>
                <w:szCs w:val="19"/>
              </w:rPr>
              <w:t xml:space="preserve">Sala de ventas</w:t>
            </w:r>
          </w:p>
        </w:tc>
        <w:tc>
          <w:tcPr>
            <w:tcMar>
              <w:top w:type="dxa" w:w="80"/>
              <w:left w:type="dxa" w:w="120"/>
              <w:bottom w:type="dxa" w:w="80"/>
              <w:right w:type="dxa" w:w="120"/>
            </w:tcMar>
          </w:tcPr>
          <w:p>
            <w:pPr>
              <w:spacing w:after="0" w:before="0"/>
            </w:pPr>
            <w:r>
              <w:rPr>
                <w:b w:val="false"/>
                <w:bCs w:val="false"/>
                <w:color w:val="0F172A"/>
                <w:sz w:val="19"/>
                <w:szCs w:val="19"/>
              </w:rPr>
              <w:t xml:space="preserve">85 m²</w:t>
            </w:r>
          </w:p>
        </w:tc>
        <w:tc>
          <w:tcPr>
            <w:tcMar>
              <w:top w:type="dxa" w:w="80"/>
              <w:left w:type="dxa" w:w="120"/>
              <w:bottom w:type="dxa" w:w="80"/>
              <w:right w:type="dxa" w:w="120"/>
            </w:tcMar>
          </w:tcPr>
          <w:p>
            <w:pPr>
              <w:spacing w:after="0" w:before="0"/>
            </w:pPr>
            <w:r>
              <w:rPr>
                <w:b w:val="false"/>
                <w:bCs w:val="false"/>
                <w:color w:val="0F172A"/>
                <w:sz w:val="19"/>
                <w:szCs w:val="19"/>
              </w:rPr>
              <w:t xml:space="preserve">3</w:t>
            </w:r>
          </w:p>
        </w:tc>
        <w:tc>
          <w:tcPr>
            <w:tcMar>
              <w:top w:type="dxa" w:w="80"/>
              <w:left w:type="dxa" w:w="120"/>
              <w:bottom w:type="dxa" w:w="80"/>
              <w:right w:type="dxa" w:w="120"/>
            </w:tcMar>
          </w:tcPr>
          <w:p>
            <w:pPr>
              <w:spacing w:after="0" w:before="0"/>
            </w:pPr>
            <w:r>
              <w:rPr>
                <w:b w:val="false"/>
                <w:bCs w:val="false"/>
                <w:color w:val="0F172A"/>
                <w:sz w:val="19"/>
                <w:szCs w:val="19"/>
              </w:rPr>
              <w:t xml:space="preserve">Escaparate a calle peatonal, puerta de acceso y hueco al almacén</w:t>
            </w:r>
          </w:p>
        </w:tc>
      </w:tr>
      <w:tr>
        <w:tc>
          <w:tcPr>
            <w:tcMar>
              <w:top w:type="dxa" w:w="80"/>
              <w:left w:type="dxa" w:w="120"/>
              <w:bottom w:type="dxa" w:w="80"/>
              <w:right w:type="dxa" w:w="120"/>
            </w:tcMar>
          </w:tcPr>
          <w:p>
            <w:pPr>
              <w:spacing w:after="0" w:before="0"/>
            </w:pPr>
            <w:r>
              <w:rPr>
                <w:b w:val="false"/>
                <w:bCs w:val="false"/>
                <w:color w:val="0F172A"/>
                <w:sz w:val="19"/>
                <w:szCs w:val="19"/>
              </w:rPr>
              <w:t xml:space="preserve">Almacén</w:t>
            </w:r>
          </w:p>
        </w:tc>
        <w:tc>
          <w:tcPr>
            <w:tcMar>
              <w:top w:type="dxa" w:w="80"/>
              <w:left w:type="dxa" w:w="120"/>
              <w:bottom w:type="dxa" w:w="80"/>
              <w:right w:type="dxa" w:w="120"/>
            </w:tcMar>
          </w:tcPr>
          <w:p>
            <w:pPr>
              <w:spacing w:after="0" w:before="0"/>
            </w:pPr>
            <w:r>
              <w:rPr>
                <w:b w:val="false"/>
                <w:bCs w:val="false"/>
                <w:color w:val="0F172A"/>
                <w:sz w:val="19"/>
                <w:szCs w:val="19"/>
              </w:rPr>
              <w:t xml:space="preserve">24 m²</w:t>
            </w:r>
          </w:p>
        </w:tc>
        <w:tc>
          <w:tcPr>
            <w:tcMar>
              <w:top w:type="dxa" w:w="80"/>
              <w:left w:type="dxa" w:w="120"/>
              <w:bottom w:type="dxa" w:w="80"/>
              <w:right w:type="dxa" w:w="120"/>
            </w:tcMar>
          </w:tcPr>
          <w:p>
            <w:pPr>
              <w:spacing w:after="0" w:before="0"/>
            </w:pPr>
            <w:r>
              <w:rPr>
                <w:b w:val="false"/>
                <w:bCs w:val="false"/>
                <w:color w:val="0F172A"/>
                <w:sz w:val="19"/>
                <w:szCs w:val="19"/>
              </w:rPr>
              <w:t xml:space="preserve">1</w:t>
            </w:r>
          </w:p>
        </w:tc>
        <w:tc>
          <w:tcPr>
            <w:tcMar>
              <w:top w:type="dxa" w:w="80"/>
              <w:left w:type="dxa" w:w="120"/>
              <w:bottom w:type="dxa" w:w="80"/>
              <w:right w:type="dxa" w:w="120"/>
            </w:tcMar>
          </w:tcPr>
          <w:p>
            <w:pPr>
              <w:spacing w:after="0" w:before="0"/>
            </w:pPr>
            <w:r>
              <w:rPr>
                <w:b w:val="false"/>
                <w:bCs w:val="false"/>
                <w:color w:val="0F172A"/>
                <w:sz w:val="19"/>
                <w:szCs w:val="19"/>
              </w:rPr>
              <w:t xml:space="preserve">Ventana a patio interior compartido</w:t>
            </w:r>
          </w:p>
        </w:tc>
      </w:tr>
      <w:tr>
        <w:tc>
          <w:tcPr>
            <w:tcMar>
              <w:top w:type="dxa" w:w="80"/>
              <w:left w:type="dxa" w:w="120"/>
              <w:bottom w:type="dxa" w:w="80"/>
              <w:right w:type="dxa" w:w="120"/>
            </w:tcMar>
          </w:tcPr>
          <w:p>
            <w:pPr>
              <w:spacing w:after="0" w:before="0"/>
            </w:pPr>
            <w:r>
              <w:rPr>
                <w:b w:val="false"/>
                <w:bCs w:val="false"/>
                <w:color w:val="0F172A"/>
                <w:sz w:val="19"/>
                <w:szCs w:val="19"/>
              </w:rPr>
              <w:t xml:space="preserve">Recinto de caja fuerte</w:t>
            </w:r>
          </w:p>
        </w:tc>
        <w:tc>
          <w:tcPr>
            <w:tcMar>
              <w:top w:type="dxa" w:w="80"/>
              <w:left w:type="dxa" w:w="120"/>
              <w:bottom w:type="dxa" w:w="80"/>
              <w:right w:type="dxa" w:w="120"/>
            </w:tcMar>
          </w:tcPr>
          <w:p>
            <w:pPr>
              <w:spacing w:after="0" w:before="0"/>
            </w:pPr>
            <w:r>
              <w:rPr>
                <w:b w:val="false"/>
                <w:bCs w:val="false"/>
                <w:color w:val="0F172A"/>
                <w:sz w:val="19"/>
                <w:szCs w:val="19"/>
              </w:rPr>
              <w:t xml:space="preserve">6 m²</w:t>
            </w:r>
          </w:p>
        </w:tc>
        <w:tc>
          <w:tcPr>
            <w:tcMar>
              <w:top w:type="dxa" w:w="80"/>
              <w:left w:type="dxa" w:w="120"/>
              <w:bottom w:type="dxa" w:w="80"/>
              <w:right w:type="dxa" w:w="120"/>
            </w:tcMar>
          </w:tcPr>
          <w:p>
            <w:pPr>
              <w:spacing w:after="0" w:before="0"/>
            </w:pPr>
            <w:r>
              <w:rPr>
                <w:b w:val="false"/>
                <w:bCs w:val="false"/>
                <w:color w:val="0F172A"/>
                <w:sz w:val="19"/>
                <w:szCs w:val="19"/>
              </w:rPr>
              <w:t xml:space="preserve">0</w:t>
            </w:r>
          </w:p>
        </w:tc>
        <w:tc>
          <w:tcPr>
            <w:tcMar>
              <w:top w:type="dxa" w:w="80"/>
              <w:left w:type="dxa" w:w="120"/>
              <w:bottom w:type="dxa" w:w="80"/>
              <w:right w:type="dxa" w:w="120"/>
            </w:tcMar>
          </w:tcPr>
          <w:p>
            <w:pPr>
              <w:spacing w:after="0" w:before="0"/>
            </w:pPr>
            <w:r>
              <w:rPr>
                <w:b w:val="false"/>
                <w:bCs w:val="false"/>
                <w:color w:val="0F172A"/>
                <w:sz w:val="19"/>
                <w:szCs w:val="19"/>
              </w:rPr>
              <w:t xml:space="preserve">Sin huecos al exterior, muro de hormigón armado</w:t>
            </w:r>
          </w:p>
        </w:tc>
      </w:tr>
      <w:tr>
        <w:tc>
          <w:tcPr>
            <w:tcMar>
              <w:top w:type="dxa" w:w="80"/>
              <w:left w:type="dxa" w:w="120"/>
              <w:bottom w:type="dxa" w:w="80"/>
              <w:right w:type="dxa" w:w="120"/>
            </w:tcMar>
          </w:tcPr>
          <w:p>
            <w:pPr>
              <w:spacing w:after="0" w:before="0"/>
            </w:pPr>
            <w:r>
              <w:rPr>
                <w:b w:val="false"/>
                <w:bCs w:val="false"/>
                <w:color w:val="0F172A"/>
                <w:sz w:val="19"/>
                <w:szCs w:val="19"/>
              </w:rPr>
              <w:t xml:space="preserve">Aseo y paso</w:t>
            </w:r>
          </w:p>
        </w:tc>
        <w:tc>
          <w:tcPr>
            <w:tcMar>
              <w:top w:type="dxa" w:w="80"/>
              <w:left w:type="dxa" w:w="120"/>
              <w:bottom w:type="dxa" w:w="80"/>
              <w:right w:type="dxa" w:w="120"/>
            </w:tcMar>
          </w:tcPr>
          <w:p>
            <w:pPr>
              <w:spacing w:after="0" w:before="0"/>
            </w:pPr>
            <w:r>
              <w:rPr>
                <w:b w:val="false"/>
                <w:bCs w:val="false"/>
                <w:color w:val="0F172A"/>
                <w:sz w:val="19"/>
                <w:szCs w:val="19"/>
              </w:rPr>
              <w:t xml:space="preserve">9 m²</w:t>
            </w:r>
          </w:p>
        </w:tc>
        <w:tc>
          <w:tcPr>
            <w:tcMar>
              <w:top w:type="dxa" w:w="80"/>
              <w:left w:type="dxa" w:w="120"/>
              <w:bottom w:type="dxa" w:w="80"/>
              <w:right w:type="dxa" w:w="120"/>
            </w:tcMar>
          </w:tcPr>
          <w:p>
            <w:pPr>
              <w:spacing w:after="0" w:before="0"/>
            </w:pPr>
            <w:r>
              <w:rPr>
                <w:b w:val="false"/>
                <w:bCs w:val="false"/>
                <w:color w:val="0F172A"/>
                <w:sz w:val="19"/>
                <w:szCs w:val="19"/>
              </w:rPr>
              <w:t xml:space="preserve">1</w:t>
            </w:r>
          </w:p>
        </w:tc>
        <w:tc>
          <w:tcPr>
            <w:tcMar>
              <w:top w:type="dxa" w:w="80"/>
              <w:left w:type="dxa" w:w="120"/>
              <w:bottom w:type="dxa" w:w="80"/>
              <w:right w:type="dxa" w:w="120"/>
            </w:tcMar>
          </w:tcPr>
          <w:p>
            <w:pPr>
              <w:spacing w:after="0" w:before="0"/>
            </w:pPr>
            <w:r>
              <w:rPr>
                <w:b w:val="false"/>
                <w:bCs w:val="false"/>
                <w:color w:val="0F172A"/>
                <w:sz w:val="19"/>
                <w:szCs w:val="19"/>
              </w:rPr>
              <w:t xml:space="preserve">Ventana alta a patio de luces</w:t>
            </w:r>
          </w:p>
        </w:tc>
      </w:tr>
    </w:tbl>
    <w:p>
      <w:pPr>
        <w:spacing w:after="160"/>
      </w:pPr>
    </w:p>
    <w:p>
      <w:pPr>
        <w:pStyle w:val="Heading2"/>
        <w:spacing w:after="140" w:before="320"/>
      </w:pPr>
      <w:r>
        <w:rPr>
          <w:b w:val="false"/>
          <w:bCs w:val="false"/>
        </w:rPr>
        <w:t xml:space="preserve">4. Elementos previstos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Elemento</w:t>
            </w:r>
          </w:p>
        </w:tc>
        <w:tc>
          <w:tcPr>
            <w:shd w:fill="F1F5F9" w:val="clear"/>
            <w:tcMar>
              <w:top w:type="dxa" w:w="80"/>
              <w:left w:type="dxa" w:w="120"/>
              <w:bottom w:type="dxa" w:w="80"/>
              <w:right w:type="dxa" w:w="120"/>
            </w:tcMar>
          </w:tcPr>
          <w:p>
            <w:pPr>
              <w:spacing w:after="0" w:before="0"/>
            </w:pPr>
            <w:r>
              <w:rPr>
                <w:b/>
                <w:bCs/>
                <w:color w:val="0F172A"/>
                <w:sz w:val="19"/>
                <w:szCs w:val="19"/>
              </w:rPr>
              <w:t xml:space="preserve">Uds.</w:t>
            </w:r>
          </w:p>
        </w:tc>
        <w:tc>
          <w:tcPr>
            <w:shd w:fill="F1F5F9" w:val="clear"/>
            <w:tcMar>
              <w:top w:type="dxa" w:w="80"/>
              <w:left w:type="dxa" w:w="120"/>
              <w:bottom w:type="dxa" w:w="80"/>
              <w:right w:type="dxa" w:w="120"/>
            </w:tcMar>
          </w:tcPr>
          <w:p>
            <w:pPr>
              <w:spacing w:after="0" w:before="0"/>
            </w:pPr>
            <w:r>
              <w:rPr>
                <w:b/>
                <w:bCs/>
                <w:color w:val="0F172A"/>
                <w:sz w:val="19"/>
                <w:szCs w:val="19"/>
              </w:rPr>
              <w:t xml:space="preserve">Marca</w:t>
            </w:r>
          </w:p>
        </w:tc>
        <w:tc>
          <w:tcPr>
            <w:shd w:fill="F1F5F9" w:val="clear"/>
            <w:tcMar>
              <w:top w:type="dxa" w:w="80"/>
              <w:left w:type="dxa" w:w="120"/>
              <w:bottom w:type="dxa" w:w="80"/>
              <w:right w:type="dxa" w:w="120"/>
            </w:tcMar>
          </w:tcPr>
          <w:p>
            <w:pPr>
              <w:spacing w:after="0" w:before="0"/>
            </w:pPr>
            <w:r>
              <w:rPr>
                <w:b/>
                <w:bCs/>
                <w:color w:val="0F172A"/>
                <w:sz w:val="19"/>
                <w:szCs w:val="19"/>
              </w:rPr>
              <w:t xml:space="preserve">Modelo</w:t>
            </w:r>
          </w:p>
        </w:tc>
        <w:tc>
          <w:tcPr>
            <w:shd w:fill="F1F5F9" w:val="clear"/>
            <w:tcMar>
              <w:top w:type="dxa" w:w="80"/>
              <w:left w:type="dxa" w:w="120"/>
              <w:bottom w:type="dxa" w:w="80"/>
              <w:right w:type="dxa" w:w="120"/>
            </w:tcMar>
          </w:tcPr>
          <w:p>
            <w:pPr>
              <w:spacing w:after="0" w:before="0"/>
            </w:pPr>
            <w:r>
              <w:rPr>
                <w:b/>
                <w:bCs/>
                <w:color w:val="0F172A"/>
                <w:sz w:val="19"/>
                <w:szCs w:val="19"/>
              </w:rPr>
              <w:t xml:space="preserve">Grado</w:t>
            </w:r>
          </w:p>
        </w:tc>
        <w:tc>
          <w:tcPr>
            <w:shd w:fill="F1F5F9" w:val="clear"/>
            <w:tcMar>
              <w:top w:type="dxa" w:w="80"/>
              <w:left w:type="dxa" w:w="120"/>
              <w:bottom w:type="dxa" w:w="80"/>
              <w:right w:type="dxa" w:w="120"/>
            </w:tcMar>
          </w:tcPr>
          <w:p>
            <w:pPr>
              <w:spacing w:after="0" w:before="0"/>
            </w:pPr>
            <w:r>
              <w:rPr>
                <w:b/>
                <w:bCs/>
                <w:color w:val="0F172A"/>
                <w:sz w:val="19"/>
                <w:szCs w:val="19"/>
              </w:rPr>
              <w:t xml:space="preserve">Zona</w:t>
            </w:r>
          </w:p>
        </w:tc>
      </w:tr>
      <w:tr>
        <w:tc>
          <w:tcPr>
            <w:tcMar>
              <w:top w:type="dxa" w:w="80"/>
              <w:left w:type="dxa" w:w="120"/>
              <w:bottom w:type="dxa" w:w="80"/>
              <w:right w:type="dxa" w:w="120"/>
            </w:tcMar>
          </w:tcPr>
          <w:p>
            <w:pPr>
              <w:spacing w:after="0" w:before="0"/>
            </w:pPr>
            <w:r>
              <w:rPr>
                <w:b w:val="false"/>
                <w:bCs w:val="false"/>
                <w:color w:val="0F172A"/>
                <w:sz w:val="19"/>
                <w:szCs w:val="19"/>
              </w:rPr>
              <w:t xml:space="preserve">Central de alarma con comunicador dual</w:t>
            </w:r>
          </w:p>
        </w:tc>
        <w:tc>
          <w:tcPr>
            <w:tcMar>
              <w:top w:type="dxa" w:w="80"/>
              <w:left w:type="dxa" w:w="120"/>
              <w:bottom w:type="dxa" w:w="80"/>
              <w:right w:type="dxa" w:w="120"/>
            </w:tcMar>
          </w:tcPr>
          <w:p>
            <w:pPr>
              <w:spacing w:after="0" w:before="0"/>
            </w:pPr>
            <w:r>
              <w:rPr>
                <w:b w:val="false"/>
                <w:bCs w:val="false"/>
                <w:color w:val="0F172A"/>
                <w:sz w:val="19"/>
                <w:szCs w:val="19"/>
              </w:rPr>
              <w:t xml:space="preserve">1</w:t>
            </w:r>
          </w:p>
        </w:tc>
        <w:tc>
          <w:tcPr>
            <w:tcMar>
              <w:top w:type="dxa" w:w="80"/>
              <w:left w:type="dxa" w:w="120"/>
              <w:bottom w:type="dxa" w:w="80"/>
              <w:right w:type="dxa" w:w="120"/>
            </w:tcMar>
          </w:tcPr>
          <w:p>
            <w:pPr>
              <w:spacing w:after="0" w:before="0"/>
            </w:pPr>
            <w:r>
              <w:rPr>
                <w:b w:val="false"/>
                <w:bCs w:val="false"/>
                <w:color w:val="0F172A"/>
                <w:sz w:val="19"/>
                <w:szCs w:val="19"/>
              </w:rPr>
              <w:t xml:space="preserve">Ajax</w:t>
            </w:r>
          </w:p>
        </w:tc>
        <w:tc>
          <w:tcPr>
            <w:tcMar>
              <w:top w:type="dxa" w:w="80"/>
              <w:left w:type="dxa" w:w="120"/>
              <w:bottom w:type="dxa" w:w="80"/>
              <w:right w:type="dxa" w:w="120"/>
            </w:tcMar>
          </w:tcPr>
          <w:p>
            <w:pPr>
              <w:spacing w:after="0" w:before="0"/>
            </w:pPr>
            <w:r>
              <w:rPr>
                <w:b w:val="false"/>
                <w:bCs w:val="false"/>
                <w:color w:val="0F172A"/>
                <w:sz w:val="19"/>
                <w:szCs w:val="19"/>
              </w:rPr>
              <w:t xml:space="preserve">Hub 2 Plus</w:t>
            </w:r>
          </w:p>
        </w:tc>
        <w:tc>
          <w:tcPr>
            <w:tcMar>
              <w:top w:type="dxa" w:w="80"/>
              <w:left w:type="dxa" w:w="120"/>
              <w:bottom w:type="dxa" w:w="80"/>
              <w:right w:type="dxa" w:w="120"/>
            </w:tcMar>
          </w:tcPr>
          <w:p>
            <w:pPr>
              <w:spacing w:after="0" w:before="0"/>
            </w:pPr>
            <w:r>
              <w:rPr>
                <w:b w:val="false"/>
                <w:bCs w:val="false"/>
                <w:color w:val="0F172A"/>
                <w:sz w:val="19"/>
                <w:szCs w:val="19"/>
              </w:rPr>
              <w:t xml:space="preserve">3</w:t>
            </w:r>
          </w:p>
        </w:tc>
        <w:tc>
          <w:tcPr>
            <w:tcMar>
              <w:top w:type="dxa" w:w="80"/>
              <w:left w:type="dxa" w:w="120"/>
              <w:bottom w:type="dxa" w:w="80"/>
              <w:right w:type="dxa" w:w="120"/>
            </w:tcMar>
          </w:tcPr>
          <w:p>
            <w:pPr>
              <w:spacing w:after="0" w:before="0"/>
            </w:pPr>
            <w:r>
              <w:rPr>
                <w:b w:val="false"/>
                <w:bCs w:val="false"/>
                <w:color w:val="0F172A"/>
                <w:sz w:val="19"/>
                <w:szCs w:val="19"/>
              </w:rPr>
              <w:t xml:space="preserve">Sala de ventas</w:t>
            </w:r>
          </w:p>
        </w:tc>
      </w:tr>
      <w:tr>
        <w:tc>
          <w:tcPr>
            <w:tcMar>
              <w:top w:type="dxa" w:w="80"/>
              <w:left w:type="dxa" w:w="120"/>
              <w:bottom w:type="dxa" w:w="80"/>
              <w:right w:type="dxa" w:w="120"/>
            </w:tcMar>
          </w:tcPr>
          <w:p>
            <w:pPr>
              <w:spacing w:after="0" w:before="0"/>
            </w:pPr>
            <w:r>
              <w:rPr>
                <w:b w:val="false"/>
                <w:bCs w:val="false"/>
                <w:color w:val="0F172A"/>
                <w:sz w:val="19"/>
                <w:szCs w:val="19"/>
              </w:rPr>
              <w:t xml:space="preserve">Detector volumétrico doble tecnología</w:t>
            </w:r>
          </w:p>
        </w:tc>
        <w:tc>
          <w:tcPr>
            <w:tcMar>
              <w:top w:type="dxa" w:w="80"/>
              <w:left w:type="dxa" w:w="120"/>
              <w:bottom w:type="dxa" w:w="80"/>
              <w:right w:type="dxa" w:w="120"/>
            </w:tcMar>
          </w:tcPr>
          <w:p>
            <w:pPr>
              <w:spacing w:after="0" w:before="0"/>
            </w:pPr>
            <w:r>
              <w:rPr>
                <w:b w:val="false"/>
                <w:bCs w:val="false"/>
                <w:color w:val="0F172A"/>
                <w:sz w:val="19"/>
                <w:szCs w:val="19"/>
              </w:rPr>
              <w:t xml:space="preserve">4</w:t>
            </w:r>
          </w:p>
        </w:tc>
        <w:tc>
          <w:tcPr>
            <w:tcMar>
              <w:top w:type="dxa" w:w="80"/>
              <w:left w:type="dxa" w:w="120"/>
              <w:bottom w:type="dxa" w:w="80"/>
              <w:right w:type="dxa" w:w="120"/>
            </w:tcMar>
          </w:tcPr>
          <w:p>
            <w:pPr>
              <w:spacing w:after="0" w:before="0"/>
            </w:pPr>
            <w:r>
              <w:rPr>
                <w:b w:val="false"/>
                <w:bCs w:val="false"/>
                <w:color w:val="0F172A"/>
                <w:sz w:val="19"/>
                <w:szCs w:val="19"/>
              </w:rPr>
              <w:t xml:space="preserve">Ajax</w:t>
            </w:r>
          </w:p>
        </w:tc>
        <w:tc>
          <w:tcPr>
            <w:tcMar>
              <w:top w:type="dxa" w:w="80"/>
              <w:left w:type="dxa" w:w="120"/>
              <w:bottom w:type="dxa" w:w="80"/>
              <w:right w:type="dxa" w:w="120"/>
            </w:tcMar>
          </w:tcPr>
          <w:p>
            <w:pPr>
              <w:spacing w:after="0" w:before="0"/>
            </w:pPr>
            <w:r>
              <w:rPr>
                <w:b w:val="false"/>
                <w:bCs w:val="false"/>
                <w:color w:val="0F172A"/>
                <w:sz w:val="19"/>
                <w:szCs w:val="19"/>
              </w:rPr>
              <w:t xml:space="preserve">MotionProtect Plus</w:t>
            </w:r>
          </w:p>
        </w:tc>
        <w:tc>
          <w:tcPr>
            <w:tcMar>
              <w:top w:type="dxa" w:w="80"/>
              <w:left w:type="dxa" w:w="120"/>
              <w:bottom w:type="dxa" w:w="80"/>
              <w:right w:type="dxa" w:w="120"/>
            </w:tcMar>
          </w:tcPr>
          <w:p>
            <w:pPr>
              <w:spacing w:after="0" w:before="0"/>
            </w:pPr>
            <w:r>
              <w:rPr>
                <w:b w:val="false"/>
                <w:bCs w:val="false"/>
                <w:color w:val="0F172A"/>
                <w:sz w:val="19"/>
                <w:szCs w:val="19"/>
              </w:rPr>
              <w:t xml:space="preserve">3</w:t>
            </w:r>
          </w:p>
        </w:tc>
        <w:tc>
          <w:tcPr>
            <w:tcMar>
              <w:top w:type="dxa" w:w="80"/>
              <w:left w:type="dxa" w:w="120"/>
              <w:bottom w:type="dxa" w:w="80"/>
              <w:right w:type="dxa" w:w="120"/>
            </w:tcMar>
          </w:tcPr>
          <w:p>
            <w:pPr>
              <w:spacing w:after="0" w:before="0"/>
            </w:pPr>
            <w:r>
              <w:rPr>
                <w:b w:val="false"/>
                <w:bCs w:val="false"/>
                <w:color w:val="0F172A"/>
                <w:sz w:val="19"/>
                <w:szCs w:val="19"/>
              </w:rPr>
              <w:t xml:space="preserve">Sala de ventas</w:t>
            </w:r>
          </w:p>
        </w:tc>
      </w:tr>
      <w:tr>
        <w:tc>
          <w:tcPr>
            <w:tcMar>
              <w:top w:type="dxa" w:w="80"/>
              <w:left w:type="dxa" w:w="120"/>
              <w:bottom w:type="dxa" w:w="80"/>
              <w:right w:type="dxa" w:w="120"/>
            </w:tcMar>
          </w:tcPr>
          <w:p>
            <w:pPr>
              <w:spacing w:after="0" w:before="0"/>
            </w:pPr>
            <w:r>
              <w:rPr>
                <w:b w:val="false"/>
                <w:bCs w:val="false"/>
                <w:color w:val="0F172A"/>
                <w:sz w:val="19"/>
                <w:szCs w:val="19"/>
              </w:rPr>
              <w:t xml:space="preserve">Detector sísmico</w:t>
            </w:r>
          </w:p>
        </w:tc>
        <w:tc>
          <w:tcPr>
            <w:tcMar>
              <w:top w:type="dxa" w:w="80"/>
              <w:left w:type="dxa" w:w="120"/>
              <w:bottom w:type="dxa" w:w="80"/>
              <w:right w:type="dxa" w:w="120"/>
            </w:tcMar>
          </w:tcPr>
          <w:p>
            <w:pPr>
              <w:spacing w:after="0" w:before="0"/>
            </w:pPr>
            <w:r>
              <w:rPr>
                <w:b w:val="false"/>
                <w:bCs w:val="false"/>
                <w:color w:val="0F172A"/>
                <w:sz w:val="19"/>
                <w:szCs w:val="19"/>
              </w:rPr>
              <w:t xml:space="preserve">2</w:t>
            </w:r>
          </w:p>
        </w:tc>
        <w:tc>
          <w:tcPr>
            <w:tcMar>
              <w:top w:type="dxa" w:w="80"/>
              <w:left w:type="dxa" w:w="120"/>
              <w:bottom w:type="dxa" w:w="80"/>
              <w:right w:type="dxa" w:w="120"/>
            </w:tcMar>
          </w:tcPr>
          <w:p>
            <w:pPr>
              <w:spacing w:after="0" w:before="0"/>
            </w:pPr>
            <w:r>
              <w:rPr>
                <w:b w:val="false"/>
                <w:bCs w:val="false"/>
                <w:color w:val="0F172A"/>
                <w:sz w:val="19"/>
                <w:szCs w:val="19"/>
              </w:rPr>
              <w:t xml:space="preserve">Ajax</w:t>
            </w:r>
          </w:p>
        </w:tc>
        <w:tc>
          <w:tcPr>
            <w:tcMar>
              <w:top w:type="dxa" w:w="80"/>
              <w:left w:type="dxa" w:w="120"/>
              <w:bottom w:type="dxa" w:w="80"/>
              <w:right w:type="dxa" w:w="120"/>
            </w:tcMar>
          </w:tcPr>
          <w:p>
            <w:pPr>
              <w:spacing w:after="0" w:before="0"/>
            </w:pPr>
            <w:r>
              <w:rPr>
                <w:b w:val="false"/>
                <w:bCs w:val="false"/>
                <w:color w:val="0F172A"/>
                <w:sz w:val="19"/>
                <w:szCs w:val="19"/>
              </w:rPr>
              <w:t xml:space="preserve">GlassProtect</w:t>
            </w:r>
          </w:p>
        </w:tc>
        <w:tc>
          <w:tcPr>
            <w:tcMar>
              <w:top w:type="dxa" w:w="80"/>
              <w:left w:type="dxa" w:w="120"/>
              <w:bottom w:type="dxa" w:w="80"/>
              <w:right w:type="dxa" w:w="120"/>
            </w:tcMar>
          </w:tcPr>
          <w:p>
            <w:pPr>
              <w:spacing w:after="0" w:before="0"/>
            </w:pPr>
            <w:r>
              <w:rPr>
                <w:b w:val="false"/>
                <w:bCs w:val="false"/>
                <w:color w:val="0F172A"/>
                <w:sz w:val="19"/>
                <w:szCs w:val="19"/>
              </w:rPr>
              <w:t xml:space="preserve">3</w:t>
            </w:r>
          </w:p>
        </w:tc>
        <w:tc>
          <w:tcPr>
            <w:tcMar>
              <w:top w:type="dxa" w:w="80"/>
              <w:left w:type="dxa" w:w="120"/>
              <w:bottom w:type="dxa" w:w="80"/>
              <w:right w:type="dxa" w:w="120"/>
            </w:tcMar>
          </w:tcPr>
          <w:p>
            <w:pPr>
              <w:spacing w:after="0" w:before="0"/>
            </w:pPr>
            <w:r>
              <w:rPr>
                <w:b w:val="false"/>
                <w:bCs w:val="false"/>
                <w:color w:val="0F172A"/>
                <w:sz w:val="19"/>
                <w:szCs w:val="19"/>
              </w:rPr>
              <w:t xml:space="preserve">Recinto de caja fuerte</w:t>
            </w:r>
          </w:p>
        </w:tc>
      </w:tr>
      <w:tr>
        <w:tc>
          <w:tcPr>
            <w:tcMar>
              <w:top w:type="dxa" w:w="80"/>
              <w:left w:type="dxa" w:w="120"/>
              <w:bottom w:type="dxa" w:w="80"/>
              <w:right w:type="dxa" w:w="120"/>
            </w:tcMar>
          </w:tcPr>
          <w:p>
            <w:pPr>
              <w:spacing w:after="0" w:before="0"/>
            </w:pPr>
            <w:r>
              <w:rPr>
                <w:b w:val="false"/>
                <w:bCs w:val="false"/>
                <w:color w:val="0F172A"/>
                <w:sz w:val="19"/>
                <w:szCs w:val="19"/>
              </w:rPr>
              <w:t xml:space="preserve">Contacto magnético</w:t>
            </w:r>
          </w:p>
        </w:tc>
        <w:tc>
          <w:tcPr>
            <w:tcMar>
              <w:top w:type="dxa" w:w="80"/>
              <w:left w:type="dxa" w:w="120"/>
              <w:bottom w:type="dxa" w:w="80"/>
              <w:right w:type="dxa" w:w="120"/>
            </w:tcMar>
          </w:tcPr>
          <w:p>
            <w:pPr>
              <w:spacing w:after="0" w:before="0"/>
            </w:pPr>
            <w:r>
              <w:rPr>
                <w:b w:val="false"/>
                <w:bCs w:val="false"/>
                <w:color w:val="0F172A"/>
                <w:sz w:val="19"/>
                <w:szCs w:val="19"/>
              </w:rPr>
              <w:t xml:space="preserve">3</w:t>
            </w:r>
          </w:p>
        </w:tc>
        <w:tc>
          <w:tcPr>
            <w:tcMar>
              <w:top w:type="dxa" w:w="80"/>
              <w:left w:type="dxa" w:w="120"/>
              <w:bottom w:type="dxa" w:w="80"/>
              <w:right w:type="dxa" w:w="120"/>
            </w:tcMar>
          </w:tcPr>
          <w:p>
            <w:pPr>
              <w:spacing w:after="0" w:before="0"/>
            </w:pPr>
            <w:r>
              <w:rPr>
                <w:b w:val="false"/>
                <w:bCs w:val="false"/>
                <w:color w:val="0F172A"/>
                <w:sz w:val="19"/>
                <w:szCs w:val="19"/>
              </w:rPr>
              <w:t xml:space="preserve">Ajax</w:t>
            </w:r>
          </w:p>
        </w:tc>
        <w:tc>
          <w:tcPr>
            <w:tcMar>
              <w:top w:type="dxa" w:w="80"/>
              <w:left w:type="dxa" w:w="120"/>
              <w:bottom w:type="dxa" w:w="80"/>
              <w:right w:type="dxa" w:w="120"/>
            </w:tcMar>
          </w:tcPr>
          <w:p>
            <w:pPr>
              <w:spacing w:after="0" w:before="0"/>
            </w:pPr>
            <w:r>
              <w:rPr>
                <w:b w:val="false"/>
                <w:bCs w:val="false"/>
                <w:color w:val="0F172A"/>
                <w:sz w:val="19"/>
                <w:szCs w:val="19"/>
              </w:rPr>
              <w:t xml:space="preserve">DoorProtect</w:t>
            </w:r>
          </w:p>
        </w:tc>
        <w:tc>
          <w:tcPr>
            <w:tcMar>
              <w:top w:type="dxa" w:w="80"/>
              <w:left w:type="dxa" w:w="120"/>
              <w:bottom w:type="dxa" w:w="80"/>
              <w:right w:type="dxa" w:w="120"/>
            </w:tcMar>
          </w:tcPr>
          <w:p>
            <w:pPr>
              <w:spacing w:after="0" w:before="0"/>
            </w:pPr>
            <w:r>
              <w:rPr>
                <w:b/>
                <w:bCs/>
                <w:color w:val="0F172A"/>
                <w:sz w:val="19"/>
                <w:szCs w:val="19"/>
              </w:rPr>
              <w:t xml:space="preserve">2</w:t>
            </w:r>
          </w:p>
        </w:tc>
        <w:tc>
          <w:tcPr>
            <w:tcMar>
              <w:top w:type="dxa" w:w="80"/>
              <w:left w:type="dxa" w:w="120"/>
              <w:bottom w:type="dxa" w:w="80"/>
              <w:right w:type="dxa" w:w="120"/>
            </w:tcMar>
          </w:tcPr>
          <w:p>
            <w:pPr>
              <w:spacing w:after="0" w:before="0"/>
            </w:pPr>
            <w:r>
              <w:rPr>
                <w:b w:val="false"/>
                <w:bCs w:val="false"/>
                <w:color w:val="0F172A"/>
                <w:sz w:val="19"/>
                <w:szCs w:val="19"/>
              </w:rPr>
              <w:t xml:space="preserve">Almacén</w:t>
            </w:r>
          </w:p>
        </w:tc>
      </w:tr>
      <w:tr>
        <w:tc>
          <w:tcPr>
            <w:tcMar>
              <w:top w:type="dxa" w:w="80"/>
              <w:left w:type="dxa" w:w="120"/>
              <w:bottom w:type="dxa" w:w="80"/>
              <w:right w:type="dxa" w:w="120"/>
            </w:tcMar>
          </w:tcPr>
          <w:p>
            <w:pPr>
              <w:spacing w:after="0" w:before="0"/>
            </w:pPr>
            <w:r>
              <w:rPr>
                <w:b w:val="false"/>
                <w:bCs w:val="false"/>
                <w:color w:val="0F172A"/>
                <w:sz w:val="19"/>
                <w:szCs w:val="19"/>
              </w:rPr>
              <w:t xml:space="preserve">Pulsador antiatraco</w:t>
            </w:r>
          </w:p>
        </w:tc>
        <w:tc>
          <w:tcPr>
            <w:tcMar>
              <w:top w:type="dxa" w:w="80"/>
              <w:left w:type="dxa" w:w="120"/>
              <w:bottom w:type="dxa" w:w="80"/>
              <w:right w:type="dxa" w:w="120"/>
            </w:tcMar>
          </w:tcPr>
          <w:p>
            <w:pPr>
              <w:spacing w:after="0" w:before="0"/>
            </w:pPr>
            <w:r>
              <w:rPr>
                <w:b w:val="false"/>
                <w:bCs w:val="false"/>
                <w:color w:val="0F172A"/>
                <w:sz w:val="19"/>
                <w:szCs w:val="19"/>
              </w:rPr>
              <w:t xml:space="preserve">2</w:t>
            </w:r>
          </w:p>
        </w:tc>
        <w:tc>
          <w:tcPr>
            <w:tcMar>
              <w:top w:type="dxa" w:w="80"/>
              <w:left w:type="dxa" w:w="120"/>
              <w:bottom w:type="dxa" w:w="80"/>
              <w:right w:type="dxa" w:w="120"/>
            </w:tcMar>
          </w:tcPr>
          <w:p>
            <w:pPr>
              <w:spacing w:after="0" w:before="0"/>
            </w:pPr>
            <w:r>
              <w:rPr>
                <w:b w:val="false"/>
                <w:bCs w:val="false"/>
                <w:color w:val="0F172A"/>
                <w:sz w:val="19"/>
                <w:szCs w:val="19"/>
              </w:rPr>
              <w:t xml:space="preserve">Ajax</w:t>
            </w:r>
          </w:p>
        </w:tc>
        <w:tc>
          <w:tcPr>
            <w:tcMar>
              <w:top w:type="dxa" w:w="80"/>
              <w:left w:type="dxa" w:w="120"/>
              <w:bottom w:type="dxa" w:w="80"/>
              <w:right w:type="dxa" w:w="120"/>
            </w:tcMar>
          </w:tcPr>
          <w:p>
            <w:pPr>
              <w:spacing w:after="0" w:before="0"/>
            </w:pPr>
            <w:r>
              <w:rPr>
                <w:b w:val="false"/>
                <w:bCs w:val="false"/>
                <w:color w:val="0F172A"/>
                <w:sz w:val="19"/>
                <w:szCs w:val="19"/>
              </w:rPr>
              <w:t xml:space="preserve">Button</w:t>
            </w:r>
          </w:p>
        </w:tc>
        <w:tc>
          <w:tcPr>
            <w:tcMar>
              <w:top w:type="dxa" w:w="80"/>
              <w:left w:type="dxa" w:w="120"/>
              <w:bottom w:type="dxa" w:w="80"/>
              <w:right w:type="dxa" w:w="120"/>
            </w:tcMar>
          </w:tcPr>
          <w:p>
            <w:pPr>
              <w:spacing w:after="0" w:before="0"/>
            </w:pPr>
            <w:r>
              <w:rPr>
                <w:b w:val="false"/>
                <w:bCs w:val="false"/>
                <w:color w:val="0F172A"/>
                <w:sz w:val="19"/>
                <w:szCs w:val="19"/>
              </w:rPr>
              <w:t xml:space="preserve">3</w:t>
            </w:r>
          </w:p>
        </w:tc>
        <w:tc>
          <w:tcPr>
            <w:tcMar>
              <w:top w:type="dxa" w:w="80"/>
              <w:left w:type="dxa" w:w="120"/>
              <w:bottom w:type="dxa" w:w="80"/>
              <w:right w:type="dxa" w:w="120"/>
            </w:tcMar>
          </w:tcPr>
          <w:p>
            <w:pPr>
              <w:spacing w:after="0" w:before="0"/>
            </w:pPr>
            <w:r>
              <w:rPr>
                <w:b w:val="false"/>
                <w:bCs w:val="false"/>
                <w:color w:val="0F172A"/>
                <w:sz w:val="19"/>
                <w:szCs w:val="19"/>
              </w:rPr>
              <w:t xml:space="preserve">Sala de ventas</w:t>
            </w:r>
          </w:p>
        </w:tc>
      </w:tr>
      <w:tr>
        <w:tc>
          <w:tcPr>
            <w:tcMar>
              <w:top w:type="dxa" w:w="80"/>
              <w:left w:type="dxa" w:w="120"/>
              <w:bottom w:type="dxa" w:w="80"/>
              <w:right w:type="dxa" w:w="120"/>
            </w:tcMar>
          </w:tcPr>
          <w:p>
            <w:pPr>
              <w:spacing w:after="0" w:before="0"/>
            </w:pPr>
            <w:r>
              <w:rPr>
                <w:b w:val="false"/>
                <w:bCs w:val="false"/>
                <w:color w:val="0F172A"/>
                <w:sz w:val="19"/>
                <w:szCs w:val="19"/>
              </w:rPr>
              <w:t xml:space="preserve">Cámara de verificación por vídeo</w:t>
            </w:r>
          </w:p>
        </w:tc>
        <w:tc>
          <w:tcPr>
            <w:tcMar>
              <w:top w:type="dxa" w:w="80"/>
              <w:left w:type="dxa" w:w="120"/>
              <w:bottom w:type="dxa" w:w="80"/>
              <w:right w:type="dxa" w:w="120"/>
            </w:tcMar>
          </w:tcPr>
          <w:p>
            <w:pPr>
              <w:spacing w:after="0" w:before="0"/>
            </w:pPr>
            <w:r>
              <w:rPr>
                <w:b w:val="false"/>
                <w:bCs w:val="false"/>
                <w:color w:val="0F172A"/>
                <w:sz w:val="19"/>
                <w:szCs w:val="19"/>
              </w:rPr>
              <w:t xml:space="preserve">3</w:t>
            </w:r>
          </w:p>
        </w:tc>
        <w:tc>
          <w:tcPr>
            <w:tcMar>
              <w:top w:type="dxa" w:w="80"/>
              <w:left w:type="dxa" w:w="120"/>
              <w:bottom w:type="dxa" w:w="80"/>
              <w:right w:type="dxa" w:w="120"/>
            </w:tcMar>
          </w:tcPr>
          <w:p>
            <w:pPr>
              <w:spacing w:after="0" w:before="0"/>
            </w:pPr>
            <w:r>
              <w:rPr>
                <w:b w:val="false"/>
                <w:bCs w:val="false"/>
                <w:color w:val="0F172A"/>
                <w:sz w:val="19"/>
                <w:szCs w:val="19"/>
              </w:rPr>
              <w:t xml:space="preserve">Ajax</w:t>
            </w:r>
          </w:p>
        </w:tc>
        <w:tc>
          <w:tcPr>
            <w:tcMar>
              <w:top w:type="dxa" w:w="80"/>
              <w:left w:type="dxa" w:w="120"/>
              <w:bottom w:type="dxa" w:w="80"/>
              <w:right w:type="dxa" w:w="120"/>
            </w:tcMar>
          </w:tcPr>
          <w:p>
            <w:pPr>
              <w:spacing w:after="0" w:before="0"/>
            </w:pPr>
            <w:r>
              <w:rPr>
                <w:b w:val="false"/>
                <w:bCs w:val="false"/>
                <w:color w:val="0F172A"/>
                <w:sz w:val="19"/>
                <w:szCs w:val="19"/>
              </w:rPr>
              <w:t xml:space="preserve">MotionCam</w:t>
            </w:r>
          </w:p>
        </w:tc>
        <w:tc>
          <w:tcPr>
            <w:tcMar>
              <w:top w:type="dxa" w:w="80"/>
              <w:left w:type="dxa" w:w="120"/>
              <w:bottom w:type="dxa" w:w="80"/>
              <w:right w:type="dxa" w:w="120"/>
            </w:tcMar>
          </w:tcPr>
          <w:p>
            <w:pPr>
              <w:spacing w:after="0" w:before="0"/>
            </w:pPr>
            <w:r>
              <w:rPr>
                <w:b w:val="false"/>
                <w:bCs w:val="false"/>
                <w:color w:val="0F172A"/>
                <w:sz w:val="19"/>
                <w:szCs w:val="19"/>
              </w:rPr>
              <w:t xml:space="preserve">3</w:t>
            </w:r>
          </w:p>
        </w:tc>
        <w:tc>
          <w:tcPr>
            <w:tcMar>
              <w:top w:type="dxa" w:w="80"/>
              <w:left w:type="dxa" w:w="120"/>
              <w:bottom w:type="dxa" w:w="80"/>
              <w:right w:type="dxa" w:w="120"/>
            </w:tcMar>
          </w:tcPr>
          <w:p>
            <w:pPr>
              <w:spacing w:after="0" w:before="0"/>
            </w:pPr>
            <w:r>
              <w:rPr>
                <w:b w:val="false"/>
                <w:bCs w:val="false"/>
                <w:color w:val="0F172A"/>
                <w:sz w:val="19"/>
                <w:szCs w:val="19"/>
              </w:rPr>
              <w:t xml:space="preserve">Sala de ventas</w:t>
            </w:r>
          </w:p>
        </w:tc>
      </w:tr>
      <w:tr>
        <w:tc>
          <w:tcPr>
            <w:tcMar>
              <w:top w:type="dxa" w:w="80"/>
              <w:left w:type="dxa" w:w="120"/>
              <w:bottom w:type="dxa" w:w="80"/>
              <w:right w:type="dxa" w:w="120"/>
            </w:tcMar>
          </w:tcPr>
          <w:p>
            <w:pPr>
              <w:spacing w:after="0" w:before="0"/>
            </w:pPr>
            <w:r>
              <w:rPr>
                <w:b w:val="false"/>
                <w:bCs w:val="false"/>
                <w:color w:val="0F172A"/>
                <w:sz w:val="19"/>
                <w:szCs w:val="19"/>
              </w:rPr>
              <w:t xml:space="preserve">Sirena exterior autoalimentada</w:t>
            </w:r>
          </w:p>
        </w:tc>
        <w:tc>
          <w:tcPr>
            <w:tcMar>
              <w:top w:type="dxa" w:w="80"/>
              <w:left w:type="dxa" w:w="120"/>
              <w:bottom w:type="dxa" w:w="80"/>
              <w:right w:type="dxa" w:w="120"/>
            </w:tcMar>
          </w:tcPr>
          <w:p>
            <w:pPr>
              <w:spacing w:after="0" w:before="0"/>
            </w:pPr>
            <w:r>
              <w:rPr>
                <w:b w:val="false"/>
                <w:bCs w:val="false"/>
                <w:color w:val="0F172A"/>
                <w:sz w:val="19"/>
                <w:szCs w:val="19"/>
              </w:rPr>
              <w:t xml:space="preserve">1</w:t>
            </w:r>
          </w:p>
        </w:tc>
        <w:tc>
          <w:tcPr>
            <w:tcMar>
              <w:top w:type="dxa" w:w="80"/>
              <w:left w:type="dxa" w:w="120"/>
              <w:bottom w:type="dxa" w:w="80"/>
              <w:right w:type="dxa" w:w="120"/>
            </w:tcMar>
          </w:tcPr>
          <w:p>
            <w:pPr>
              <w:spacing w:after="0" w:before="0"/>
            </w:pPr>
            <w:r>
              <w:rPr>
                <w:b w:val="false"/>
                <w:bCs w:val="false"/>
                <w:color w:val="0F172A"/>
                <w:sz w:val="19"/>
                <w:szCs w:val="19"/>
              </w:rPr>
              <w:t xml:space="preserve">Ajax</w:t>
            </w:r>
          </w:p>
        </w:tc>
        <w:tc>
          <w:tcPr>
            <w:tcMar>
              <w:top w:type="dxa" w:w="80"/>
              <w:left w:type="dxa" w:w="120"/>
              <w:bottom w:type="dxa" w:w="80"/>
              <w:right w:type="dxa" w:w="120"/>
            </w:tcMar>
          </w:tcPr>
          <w:p>
            <w:pPr>
              <w:spacing w:after="0" w:before="0"/>
            </w:pPr>
            <w:r>
              <w:rPr>
                <w:b w:val="false"/>
                <w:bCs w:val="false"/>
                <w:color w:val="0F172A"/>
                <w:sz w:val="19"/>
                <w:szCs w:val="19"/>
              </w:rPr>
              <w:t xml:space="preserve">StreetSiren</w:t>
            </w:r>
          </w:p>
        </w:tc>
        <w:tc>
          <w:tcPr>
            <w:tcMar>
              <w:top w:type="dxa" w:w="80"/>
              <w:left w:type="dxa" w:w="120"/>
              <w:bottom w:type="dxa" w:w="80"/>
              <w:right w:type="dxa" w:w="120"/>
            </w:tcMar>
          </w:tcPr>
          <w:p>
            <w:pPr>
              <w:spacing w:after="0" w:before="0"/>
            </w:pPr>
            <w:r>
              <w:rPr>
                <w:b w:val="false"/>
                <w:bCs w:val="false"/>
                <w:color w:val="0F172A"/>
                <w:sz w:val="19"/>
                <w:szCs w:val="19"/>
              </w:rPr>
              <w:t xml:space="preserve">[PENDIENTE]</w:t>
            </w:r>
          </w:p>
        </w:tc>
        <w:tc>
          <w:tcPr>
            <w:tcMar>
              <w:top w:type="dxa" w:w="80"/>
              <w:left w:type="dxa" w:w="120"/>
              <w:bottom w:type="dxa" w:w="80"/>
              <w:right w:type="dxa" w:w="120"/>
            </w:tcMar>
          </w:tcPr>
          <w:p>
            <w:pPr>
              <w:spacing w:after="0" w:before="0"/>
            </w:pPr>
            <w:r>
              <w:rPr>
                <w:b w:val="false"/>
                <w:bCs w:val="false"/>
                <w:color w:val="0F172A"/>
                <w:sz w:val="19"/>
                <w:szCs w:val="19"/>
              </w:rPr>
              <w:t xml:space="preserve">Sala de ventas</w:t>
            </w:r>
          </w:p>
        </w:tc>
      </w:tr>
    </w:tbl>
    <w:p>
      <w:pPr>
        <w:spacing w:after="160"/>
      </w:pPr>
    </w:p>
    <w:p>
      <w:pPr>
        <w:pBdr>
          <w:left w:val="single" w:color="CBD5E1" w:sz="12" w:space="12"/>
        </w:pBdr>
        <w:spacing w:after="160" w:before="120"/>
        <w:ind w:left="340"/>
      </w:pPr>
      <w:r>
        <w:rPr>
          <w:b w:val="false"/>
          <w:bCs w:val="false"/>
          <w:color w:val="475569"/>
        </w:rPr>
        <w:t xml:space="preserve">Los grados en negrita están por debajo del grado 3 del sistema. Cualquier elemento o dispositivo que forme parte de un sistema de alarma deberá cumplir, como mínimo, el grado y características establecidas en las Normas UNE-EN 50130 y UNE-EN 50131.</w:t>
      </w:r>
    </w:p>
    <w:p>
      <w:pPr>
        <w:pStyle w:val="Heading2"/>
        <w:spacing w:after="140" w:before="320"/>
      </w:pPr>
      <w:r>
        <w:rPr>
          <w:b w:val="false"/>
          <w:bCs w:val="false"/>
        </w:rPr>
        <w:t xml:space="preserve">5. Niveles de cobertura</w:t>
      </w:r>
    </w:p>
    <w:p>
      <w:pPr>
        <w:spacing w:after="140"/>
      </w:pPr>
      <w:r>
        <w:rPr>
          <w:b w:val="false"/>
          <w:bCs w:val="false"/>
        </w:rPr>
        <w:t xml:space="preserve">Los niveles de cobertura de cada zona se determinan conforme a la </w:t>
      </w:r>
      <w:r>
        <w:rPr>
          <w:b/>
          <w:bCs/>
        </w:rPr>
        <w:t xml:space="preserve">UNE-CLC/TS 50131-7</w:t>
      </w:r>
      <w:r>
        <w:rPr>
          <w:b w:val="false"/>
          <w:bCs w:val="false"/>
        </w:rPr>
        <w:t xml:space="preserve">, que fija las características de diseño, instalación, funcionamiento y mantenimiento de los sistemas de alarma de intrusión.</w:t>
      </w:r>
    </w:p>
    <w:p>
      <w:pPr>
        <w:spacing w:after="140"/>
      </w:pPr>
      <w:r>
        <w:rPr>
          <w:b/>
          <w:bCs/>
        </w:rPr>
        <w:t xml:space="preserve">La UNE-CLC/TS 50131-7 es una norma de pago y no se publica en el BOE. No reproducimos su contenido: los criterios concretos de cobertura salen de ella y la tiene que tener la empresa instaladora.</w:t>
      </w:r>
      <w:r>
        <w:rPr>
          <w:b w:val="false"/>
          <w:bCs w:val="false"/>
        </w:rPr>
        <w:t xml:space="preserve"> Este apartado hay que completarlo con ella y con los criterios técnicos de la empresa instaladora, que es a quien el artículo 42.2 se los atribuye.</w:t>
      </w:r>
    </w:p>
    <w:p>
      <w:pPr>
        <w:spacing w:after="60"/>
        <w:ind w:left="340" w:hanging="240"/>
      </w:pPr>
      <w:r>
        <w:rPr>
          <w:b/>
          <w:bCs/>
          <w:color w:val="1D4ED8"/>
        </w:rPr>
        <w:t xml:space="preserve">•	</w:t>
      </w:r>
      <w:r>
        <w:rPr>
          <w:b/>
          <w:bCs/>
        </w:rPr>
        <w:t xml:space="preserve">Sala de ventas:</w:t>
      </w:r>
      <w:r>
        <w:rPr>
          <w:b w:val="false"/>
          <w:bCs w:val="false"/>
        </w:rPr>
        <w:t xml:space="preserve"> [PENDIENTE: nivel de cobertura y justificación conforme a la UNE-CLC/TS 50131-7]</w:t>
      </w:r>
    </w:p>
    <w:p>
      <w:pPr>
        <w:spacing w:after="60"/>
        <w:ind w:left="340" w:hanging="240"/>
      </w:pPr>
      <w:r>
        <w:rPr>
          <w:b/>
          <w:bCs/>
          <w:color w:val="1D4ED8"/>
        </w:rPr>
        <w:t xml:space="preserve">•	</w:t>
      </w:r>
      <w:r>
        <w:rPr>
          <w:b/>
          <w:bCs/>
        </w:rPr>
        <w:t xml:space="preserve">Almacén:</w:t>
      </w:r>
      <w:r>
        <w:rPr>
          <w:b w:val="false"/>
          <w:bCs w:val="false"/>
        </w:rPr>
        <w:t xml:space="preserve"> [PENDIENTE: nivel de cobertura y justificación conforme a la UNE-CLC/TS 50131-7]</w:t>
      </w:r>
    </w:p>
    <w:p>
      <w:pPr>
        <w:spacing w:after="60"/>
        <w:ind w:left="340" w:hanging="240"/>
      </w:pPr>
      <w:r>
        <w:rPr>
          <w:b/>
          <w:bCs/>
          <w:color w:val="1D4ED8"/>
        </w:rPr>
        <w:t xml:space="preserve">•	</w:t>
      </w:r>
      <w:r>
        <w:rPr>
          <w:b/>
          <w:bCs/>
        </w:rPr>
        <w:t xml:space="preserve">Recinto de caja fuerte:</w:t>
      </w:r>
      <w:r>
        <w:rPr>
          <w:b w:val="false"/>
          <w:bCs w:val="false"/>
        </w:rPr>
        <w:t xml:space="preserve"> [PENDIENTE: nivel de cobertura y justificación conforme a la UNE-CLC/TS 50131-7]</w:t>
      </w:r>
    </w:p>
    <w:p>
      <w:pPr>
        <w:spacing w:after="60"/>
        <w:ind w:left="340" w:hanging="240"/>
      </w:pPr>
      <w:r>
        <w:rPr>
          <w:b/>
          <w:bCs/>
          <w:color w:val="1D4ED8"/>
        </w:rPr>
        <w:t xml:space="preserve">•	</w:t>
      </w:r>
      <w:r>
        <w:rPr>
          <w:b/>
          <w:bCs/>
        </w:rPr>
        <w:t xml:space="preserve">Aseo y paso:</w:t>
      </w:r>
      <w:r>
        <w:rPr>
          <w:b w:val="false"/>
          <w:bCs w:val="false"/>
        </w:rPr>
        <w:t xml:space="preserve"> [PENDIENTE: nivel de cobertura y justificación conforme a la UNE-CLC/TS 50131-7]</w:t>
      </w:r>
    </w:p>
    <w:p>
      <w:pPr>
        <w:pStyle w:val="Heading2"/>
        <w:spacing w:after="140" w:before="320"/>
      </w:pPr>
      <w:r>
        <w:rPr>
          <w:b w:val="false"/>
          <w:bCs w:val="false"/>
        </w:rPr>
        <w:t xml:space="preserve">6. Lo que hay que hacer además del proyecto</w:t>
      </w:r>
    </w:p>
    <w:p>
      <w:pPr>
        <w:spacing w:after="60"/>
        <w:ind w:left="340" w:hanging="240"/>
      </w:pPr>
      <w:r>
        <w:rPr>
          <w:b/>
          <w:bCs/>
          <w:color w:val="1D4ED8"/>
        </w:rPr>
        <w:t xml:space="preserve">•	</w:t>
      </w:r>
      <w:r>
        <w:rPr>
          <w:b/>
          <w:bCs/>
        </w:rPr>
        <w:t xml:space="preserve">Orden INT/316/2011, art. 1.3.</w:t>
      </w:r>
      <w:r>
        <w:rPr>
          <w:b w:val="false"/>
          <w:bCs w:val="false"/>
        </w:rPr>
        <w:t xml:space="preserve"> Antes de efectuar la conexión, las empresas de instalación y mantenimiento y las explotadoras de centrales de alarmas están obligadas a instruir al usuario, por escrito, del funcionamiento del servicio, informándole de las características técnicas y funcionales del sistema y de las responsabilidades que lleva consigo su incorporación al mismo.</w:t>
      </w:r>
    </w:p>
    <w:p>
      <w:pPr>
        <w:spacing w:after="60"/>
        <w:ind w:left="340" w:hanging="240"/>
      </w:pPr>
      <w:r>
        <w:rPr>
          <w:b/>
          <w:bCs/>
          <w:color w:val="1D4ED8"/>
        </w:rPr>
        <w:t xml:space="preserve">•	</w:t>
      </w:r>
      <w:r>
        <w:rPr>
          <w:b/>
          <w:bCs/>
        </w:rPr>
        <w:t xml:space="preserve">Orden INT/316/2011, art. 1.4.</w:t>
      </w:r>
      <w:r>
        <w:rPr>
          <w:b w:val="false"/>
          <w:bCs w:val="false"/>
        </w:rPr>
        <w:t xml:space="preserve"> Queda prohibida la instalación de marcadores automáticos programados para transmitir alarmas directamente a las dependencias de las Fuerzas y Cuerpos de Seguridad: deben transmitirse en todo caso a través de centrales explotadoras de alarmas o de centrales de uso propio.</w:t>
      </w:r>
    </w:p>
    <w:p>
      <w:pPr>
        <w:spacing w:after="60"/>
        <w:ind w:left="340" w:hanging="240"/>
      </w:pPr>
      <w:r>
        <w:rPr>
          <w:b/>
          <w:bCs/>
          <w:color w:val="1D4ED8"/>
        </w:rPr>
        <w:t xml:space="preserve">•	</w:t>
      </w:r>
      <w:r>
        <w:rPr>
          <w:b/>
          <w:bCs/>
        </w:rPr>
        <w:t xml:space="preserve">Orden INT/316/2011, art. 1.1 y 1.2.</w:t>
      </w:r>
      <w:r>
        <w:rPr>
          <w:b w:val="false"/>
          <w:bCs w:val="false"/>
        </w:rPr>
        <w:t xml:space="preserve"> Únicamente las empresas de seguridad autorizadas e inscritas en el Registro correspondiente pueden instalar y mantener sistemas que vayan a conectarse a una central de alarmas o a un centro de control, y la instalación debe ajustarse a los artículos 40, 42 y 43 del Reglamento.</w:t>
      </w:r>
    </w:p>
    <w:p>
      <w:pPr>
        <w:spacing w:after="60"/>
        <w:ind w:left="340" w:hanging="240"/>
      </w:pPr>
      <w:r>
        <w:rPr>
          <w:b/>
          <w:bCs/>
          <w:color w:val="1D4ED8"/>
        </w:rPr>
        <w:t xml:space="preserve">•	</w:t>
      </w:r>
      <w:r>
        <w:rPr>
          <w:b/>
          <w:bCs/>
        </w:rPr>
        <w:t xml:space="preserve">Orden INT/316/2011, art. 5.1.</w:t>
      </w:r>
      <w:r>
        <w:rPr>
          <w:b w:val="false"/>
          <w:bCs w:val="false"/>
        </w:rPr>
        <w:t xml:space="preserve"> Las revisiones presenciales del artículo 43.1 del Reglamento se realizarán conforme al Anexo II de la Orden, y el técnico acreditado cumplimentará un documento justificativo identificándose con nombre, apellidos, DNI o NIE y firma.</w:t>
      </w:r>
    </w:p>
    <w:p>
      <w:pPr>
        <w:spacing w:after="60"/>
        <w:ind w:left="340" w:hanging="240"/>
      </w:pPr>
      <w:r>
        <w:rPr>
          <w:b/>
          <w:bCs/>
          <w:color w:val="1D4ED8"/>
        </w:rPr>
        <w:t xml:space="preserve">•	</w:t>
      </w:r>
      <w:r>
        <w:rPr>
          <w:b/>
          <w:bCs/>
        </w:rPr>
        <w:t xml:space="preserve">Orden INT/316/2011, art. 5.4.</w:t>
      </w:r>
      <w:r>
        <w:rPr>
          <w:b w:val="false"/>
          <w:bCs w:val="false"/>
        </w:rPr>
        <w:t xml:space="preserve"> Las empresas de instalación y mantenimiento deberán disponer del servicio técnico adecuado para atender las averías y facilitar a los usuarios los manuales de la instalación, uso y mantenimiento del sistema.</w:t>
      </w:r>
    </w:p>
    <w:p>
      <w:pPr>
        <w:spacing w:after="60"/>
        <w:ind w:left="340" w:hanging="240"/>
      </w:pPr>
      <w:r>
        <w:rPr>
          <w:b/>
          <w:bCs/>
          <w:color w:val="1D4ED8"/>
        </w:rPr>
        <w:t xml:space="preserve">•	</w:t>
      </w:r>
      <w:r>
        <w:rPr>
          <w:b/>
          <w:bCs/>
        </w:rPr>
        <w:t xml:space="preserve">Real Decreto 2364/1994, art. 42.3.</w:t>
      </w:r>
      <w:r>
        <w:rPr>
          <w:b w:val="false"/>
          <w:bCs w:val="false"/>
        </w:rPr>
        <w:t xml:space="preserve"> Una vez realizada la instalación, las empresas instaladoras efectuarán las comprobaciones necesarias para asegurarse de que se cumple su finalidad preventiva y protectora, y de que es conforme con el proyecto contratado y con las disposiciones reguladoras de la materia, debiendo entregar a la entidad o establecimiento usuarios un certificado en el que conste el resultado positivo de las comprobaciones efectuadas.</w:t>
      </w:r>
    </w:p>
    <w:p>
      <w:pPr>
        <w:spacing w:after="60"/>
        <w:ind w:left="340" w:hanging="240"/>
      </w:pPr>
      <w:r>
        <w:rPr>
          <w:b/>
          <w:bCs/>
          <w:color w:val="1D4ED8"/>
        </w:rPr>
        <w:t xml:space="preserve">•	</w:t>
      </w:r>
      <w:r>
        <w:rPr>
          <w:b/>
          <w:bCs/>
        </w:rPr>
        <w:t xml:space="preserve">Orden INT/316/2011, art. 4.2.</w:t>
      </w:r>
      <w:r>
        <w:rPr>
          <w:b w:val="false"/>
          <w:bCs w:val="false"/>
        </w:rPr>
        <w:t xml:space="preserve"> El certificado obligatorio de instalación al que hace referencia el artículo 42 del Reglamento deberá garantizar que el proyecto está realizado de conformidad con la Norma UNE antes expresada y cumple con las finalidades previstas en dicho artículo.</w:t>
      </w:r>
    </w:p>
    <w:p>
      <w:pPr>
        <w:pStyle w:val="Heading2"/>
        <w:spacing w:after="140" w:before="320"/>
      </w:pPr>
      <w:r>
        <w:rPr>
          <w:b w:val="false"/>
          <w:bCs w:val="false"/>
        </w:rPr>
        <w:t xml:space="preserve">Firma</w:t>
      </w:r>
    </w:p>
    <w:p>
      <w:pPr>
        <w:spacing w:after="140"/>
      </w:pPr>
      <w:r>
        <w:rPr>
          <w:b w:val="false"/>
          <w:bCs w:val="false"/>
        </w:rPr>
        <w:t xml:space="preserve">Por la empresa instaladora: ______________________  Fecha: __________</w:t>
      </w:r>
    </w:p>
    <w:p>
      <w:pPr>
        <w:pBdr>
          <w:left w:val="single" w:color="CBD5E1" w:sz="12" w:space="12"/>
        </w:pBdr>
        <w:spacing w:after="160" w:before="120"/>
        <w:ind w:left="340"/>
      </w:pPr>
      <w:r>
        <w:rPr>
          <w:b w:val="false"/>
          <w:bCs w:val="false"/>
          <w:color w:val="475569"/>
        </w:rPr>
        <w:t xml:space="preserve">Lo que va entre corchetes falta y no lo hemos inventado. En particular, no hemos rellenado los niveles de cobertura: salen de una norma de pago que no hemos leído, y ponerlos de memoria sería peor que dejarlos en blanco.</w:t>
      </w:r>
    </w:p>
    <w:p>
      <w:r>
        <w:br w:type="page"/>
      </w:r>
    </w:p>
    <w:p>
      <w:pPr>
        <w:spacing w:after="200"/>
      </w:pPr>
      <w:r>
        <w:rPr>
          <w:b/>
          <w:bCs/>
          <w:color w:val="1D4ED8"/>
          <w:sz w:val="18"/>
          <w:szCs w:val="18"/>
        </w:rPr>
        <w:t xml:space="preserve">ADVERTENCIAS</w:t>
      </w:r>
    </w:p>
    <w:p>
      <w:pPr>
        <w:pStyle w:val="Heading1"/>
        <w:spacing w:after="140" w:before="0"/>
      </w:pPr>
      <w:r>
        <w:rPr>
          <w:b w:val="false"/>
          <w:bCs w:val="false"/>
        </w:rPr>
        <w:t xml:space="preserve">Advertencias</w:t>
      </w:r>
    </w:p>
    <w:p>
      <w:pPr>
        <w:spacing w:after="60"/>
        <w:ind w:left="340" w:hanging="240"/>
      </w:pPr>
      <w:r>
        <w:rPr>
          <w:b/>
          <w:bCs/>
          <w:color w:val="1D4ED8"/>
        </w:rPr>
        <w:t xml:space="preserve">•	</w:t>
      </w:r>
      <w:r>
        <w:rPr>
          <w:b w:val="false"/>
          <w:bCs w:val="false"/>
        </w:rPr>
        <w:t xml:space="preserve">Un elemento declara un grado por debajo del 3 que le corresponde al sistema. Cualquier elemento o dispositivo que forme parte de un sistema de alarma deberá cumplir, como mínimo, el grado y características establecidas en las Normas UNE-EN 50130 y UNE-EN 50131.</w:t>
      </w:r>
    </w:p>
    <w:p>
      <w:pPr>
        <w:spacing w:after="60"/>
        <w:ind w:left="340" w:hanging="240"/>
      </w:pPr>
      <w:r>
        <w:rPr>
          <w:b/>
          <w:bCs/>
          <w:color w:val="1D4ED8"/>
        </w:rPr>
        <w:t xml:space="preserve">•	</w:t>
      </w:r>
      <w:r>
        <w:rPr>
          <w:b w:val="false"/>
          <w:bCs w:val="false"/>
        </w:rPr>
        <w:t xml:space="preserve">Un elemento no trae el grado declarado por el fabricante. No lo damos por bueno ni por malo: compruébalo en su ficha técnica.</w:t>
      </w:r>
    </w:p>
    <w:p>
      <w:pPr>
        <w:spacing w:after="60"/>
        <w:ind w:left="340" w:hanging="240"/>
      </w:pPr>
      <w:r>
        <w:rPr>
          <w:b/>
          <w:bCs/>
          <w:color w:val="1D4ED8"/>
        </w:rPr>
        <w:t xml:space="preserve">•	</w:t>
      </w:r>
      <w:r>
        <w:rPr>
          <w:b w:val="false"/>
          <w:bCs w:val="false"/>
        </w:rPr>
        <w:t xml:space="preserve">La UNE-CLC/TS 50131-7 es una norma de pago y no se publica en el BOE. No reproducimos su contenido: los criterios concretos de cobertura salen de ella y la tiene que tener la empresa instaladora.</w:t>
      </w:r>
    </w:p>
    <w:p>
      <w:pPr>
        <w:spacing w:after="60"/>
        <w:ind w:left="340" w:hanging="240"/>
      </w:pPr>
      <w:r>
        <w:rPr>
          <w:b/>
          <w:bCs/>
          <w:color w:val="1D4ED8"/>
        </w:rPr>
        <w:t xml:space="preserve">•	</w:t>
      </w:r>
      <w:r>
        <w:rPr>
          <w:b w:val="false"/>
          <w:bCs w:val="false"/>
        </w:rPr>
        <w:t xml:space="preserve">Antes de efectuar la conexión, las empresas de instalación y mantenimiento y las explotadoras de centrales de alarmas están obligadas a instruir al usuario, por escrito, del funcionamiento del servicio, informándole de las características técnicas y funcionales del sistema y de las responsabilidades que lleva consigo su incorporación al mismo.</w:t>
      </w:r>
    </w:p>
    <w:p>
      <w:pPr>
        <w:spacing w:after="60"/>
        <w:ind w:left="340" w:hanging="240"/>
      </w:pPr>
      <w:r>
        <w:rPr>
          <w:b/>
          <w:bCs/>
          <w:color w:val="1D4ED8"/>
        </w:rPr>
        <w:t xml:space="preserve">•	</w:t>
      </w:r>
      <w:r>
        <w:rPr>
          <w:b w:val="false"/>
          <w:bCs w:val="false"/>
        </w:rPr>
        <w:t xml:space="preserve">Queda prohibida la instalación de marcadores automáticos programados para transmitir alarmas directamente a las dependencias de las Fuerzas y Cuerpos de Seguridad: deben transmitirse en todo caso a través de centrales explotadoras de alarmas o de centrales de uso propio.</w:t>
      </w:r>
    </w:p>
    <w:p>
      <w:pPr>
        <w:spacing w:after="60"/>
        <w:ind w:left="340" w:hanging="240"/>
      </w:pPr>
      <w:r>
        <w:rPr>
          <w:b/>
          <w:bCs/>
          <w:color w:val="1D4ED8"/>
        </w:rPr>
        <w:t xml:space="preserve">•	</w:t>
      </w:r>
      <w:r>
        <w:rPr>
          <w:b w:val="false"/>
          <w:bCs w:val="false"/>
        </w:rPr>
        <w:t xml:space="preserve">Únicamente las empresas de seguridad autorizadas e inscritas en el Registro correspondiente pueden instalar y mantener sistemas que vayan a conectarse a una central de alarmas o a un centro de control, y la instalación debe ajustarse a los artículos 40, 42 y 43 del Reglamento.</w:t>
      </w:r>
    </w:p>
    <w:p>
      <w:pPr>
        <w:spacing w:after="60"/>
        <w:ind w:left="340" w:hanging="240"/>
      </w:pPr>
      <w:r>
        <w:rPr>
          <w:b/>
          <w:bCs/>
          <w:color w:val="1D4ED8"/>
        </w:rPr>
        <w:t xml:space="preserve">•	</w:t>
      </w:r>
      <w:r>
        <w:rPr>
          <w:b w:val="false"/>
          <w:bCs w:val="false"/>
        </w:rPr>
        <w:t xml:space="preserve">Las revisiones presenciales del artículo 43.1 del Reglamento se realizarán conforme al Anexo II de la Orden, y el técnico acreditado cumplimentará un documento justificativo identificándose con nombre, apellidos, DNI o NIE y firma.</w:t>
      </w:r>
    </w:p>
    <w:p>
      <w:pPr>
        <w:spacing w:after="60"/>
        <w:ind w:left="340" w:hanging="240"/>
      </w:pPr>
      <w:r>
        <w:rPr>
          <w:b/>
          <w:bCs/>
          <w:color w:val="1D4ED8"/>
        </w:rPr>
        <w:t xml:space="preserve">•	</w:t>
      </w:r>
      <w:r>
        <w:rPr>
          <w:b w:val="false"/>
          <w:bCs w:val="false"/>
        </w:rPr>
        <w:t xml:space="preserve">Las empresas de instalación y mantenimiento deberán disponer del servicio técnico adecuado para atender las averías y facilitar a los usuarios los manuales de la instalación, uso y mantenimiento del sistema.</w:t>
      </w:r>
    </w:p>
    <w:p>
      <w:r>
        <w:br w:type="page"/>
      </w:r>
    </w:p>
    <w:p>
      <w:pPr>
        <w:spacing w:after="200"/>
      </w:pPr>
      <w:r>
        <w:rPr>
          <w:b/>
          <w:bCs/>
          <w:color w:val="1D4ED8"/>
          <w:sz w:val="18"/>
          <w:szCs w:val="18"/>
        </w:rPr>
        <w:t xml:space="preserve">DE DÓNDE SALE CADA COSA</w:t>
      </w:r>
    </w:p>
    <w:p>
      <w:pPr>
        <w:pStyle w:val="Heading1"/>
        <w:spacing w:after="140" w:before="0"/>
      </w:pPr>
      <w:r>
        <w:rPr>
          <w:b w:val="false"/>
          <w:bCs w:val="false"/>
        </w:rPr>
        <w:t xml:space="preserve">De dónde sale cada cosa</w:t>
      </w:r>
    </w:p>
    <w:p>
      <w:pPr>
        <w:spacing w:after="140"/>
      </w:pPr>
      <w:r>
        <w:rPr>
          <w:b w:val="false"/>
          <w:bCs w:val="false"/>
        </w:rPr>
        <w:t xml:space="preserve">Cada afirmación con su norma, su artículo y el enlace a la fuente oficial. La firma y la responsabilidad son de quien presenta el documento.</w:t>
      </w:r>
    </w:p>
    <w:p>
      <w:pPr>
        <w:spacing w:after="140"/>
      </w:pPr>
      <w:r>
        <w:rPr>
          <w:b/>
          <w:bCs/>
        </w:rPr>
        <w:t xml:space="preserve">Real Decreto 2364/1994, de 9 de diciembre, Reglamento de Seguridad Privada, art. 42.2</w:t>
      </w:r>
    </w:p>
    <w:p>
      <w:pPr>
        <w:spacing w:after="140"/>
      </w:pPr>
      <w:r>
        <w:rPr>
          <w:b w:val="false"/>
          <w:bCs w:val="false"/>
        </w:rPr>
        <w:t xml:space="preserve">En los supuestos de instalación de medidas de seguridad obligatorias en empresas o entidades privadas que carezcan de Departamento de Seguridad, o cuando tales empresas o entidades se vayan a conectar a centrales de alarmas, la instalación deberá ser precedida de la elaboración y entrega al usuario de un proyecto de instalación, con niveles de cobertura adecuados a las características arquitectónicas del recinto y del riesgo a cubrir, de acuerdo con los criterios técnicos de la propia empresa instaladora y, eventualmente, los de la dependencia policial competente, todo ello con objeto de alcanzar el máximo grado posible de eficacia del sistema, de fiabilidad en la verificación de las alarmas, de colaboración del usuario, y de evitación de falsas alarmas.</w:t>
      </w:r>
    </w:p>
    <w:p>
      <w:pPr>
        <w:spacing w:after="140"/>
      </w:pPr>
      <w:r>
        <w:rPr>
          <w:b w:val="false"/>
          <w:bCs w:val="false"/>
        </w:rPr>
        <w:t xml:space="preserve">https://www.boe.es/buscar/act.php?id=BOE-A-1995-608</w:t>
      </w:r>
    </w:p>
    <w:p>
      <w:pPr>
        <w:spacing w:after="140"/>
      </w:pPr>
      <w:r>
        <w:rPr>
          <w:b/>
          <w:bCs/>
        </w:rPr>
        <w:t xml:space="preserve">Orden INT/316/2011, de 1 de febrero, sobre funcionamiento de los sistemas de alarma en el ámbito de la seguridad privada, art. 4.1</w:t>
      </w:r>
    </w:p>
    <w:p>
      <w:pPr>
        <w:spacing w:after="140"/>
      </w:pPr>
      <w:r>
        <w:rPr>
          <w:b w:val="false"/>
          <w:bCs w:val="false"/>
        </w:rPr>
        <w:t xml:space="preserve">El proyecto de instalación al que hace referencia el artículo 42 del Reglamento de Seguridad Privada estará elaborado de acuerdo con la Norma UNE-CLC/TS 50131-7. En ella se determinan las características del diseño, instalación, funcionamiento y mantenimiento de sistemas de alarma de intrusión, con los cuales se pretende conseguir sistemas que generen un mínimo de falsas alarmas.</w:t>
      </w:r>
    </w:p>
    <w:p>
      <w:pPr>
        <w:spacing w:after="140"/>
      </w:pPr>
      <w:r>
        <w:rPr>
          <w:b w:val="false"/>
          <w:bCs w:val="false"/>
        </w:rPr>
        <w:t xml:space="preserve">https://www.boe.es/buscar/act.php?id=BOE-A-2011-3170</w:t>
      </w:r>
    </w:p>
    <w:p>
      <w:pPr>
        <w:spacing w:after="140"/>
      </w:pPr>
      <w:r>
        <w:rPr>
          <w:b/>
          <w:bCs/>
        </w:rPr>
        <w:t xml:space="preserve">Orden INT/316/2011, de 1 de febrero, sobre funcionamiento de los sistemas de alarma en el ámbito de la seguridad privada, art. 2.1</w:t>
      </w:r>
    </w:p>
    <w:p>
      <w:pPr>
        <w:spacing w:after="140"/>
      </w:pPr>
      <w:r>
        <w:rPr>
          <w:b w:val="false"/>
          <w:bCs w:val="false"/>
        </w:rPr>
        <w:t xml:space="preserve">Grado 3, de riesgo medio/alto, destinado a establecimientos obligados a disponer de medidas de seguridad, así como otras instalaciones comerciales o industriales a las que por su actividad u otras circunstancias se les exija disponer de conexión a central de alarmas o, en su caso, a un centro de control.</w:t>
      </w:r>
    </w:p>
    <w:p>
      <w:pPr>
        <w:spacing w:after="140"/>
      </w:pPr>
      <w:r>
        <w:rPr>
          <w:b w:val="false"/>
          <w:bCs w:val="false"/>
        </w:rPr>
        <w:t xml:space="preserve">https://www.boe.es/buscar/act.php?id=BOE-A-2011-3170</w:t>
      </w:r>
    </w:p>
    <w:p>
      <w:pPr>
        <w:spacing w:after="140"/>
      </w:pPr>
      <w:r>
        <w:rPr>
          <w:b/>
          <w:bCs/>
        </w:rPr>
        <w:t xml:space="preserve">Orden INT/316/2011, de 1 de febrero, sobre funcionamiento de los sistemas de alarma en el ámbito de la seguridad privada, art. 4.2</w:t>
      </w:r>
    </w:p>
    <w:p>
      <w:pPr>
        <w:spacing w:after="140"/>
      </w:pPr>
      <w:r>
        <w:rPr>
          <w:b w:val="false"/>
          <w:bCs w:val="false"/>
        </w:rPr>
        <w:t xml:space="preserve">El certificado obligatorio de instalación al que hace referencia el artículo 42 del Reglamento deberá garantizar que el proyecto está realizado de conformidad con la Norma UNE antes expresada y cumple con las finalidades previstas en dicho artículo.</w:t>
      </w:r>
    </w:p>
    <w:p>
      <w:pPr>
        <w:spacing w:after="140"/>
      </w:pPr>
      <w:r>
        <w:rPr>
          <w:b w:val="false"/>
          <w:bCs w:val="false"/>
        </w:rPr>
        <w:t xml:space="preserve">https://www.boe.es/buscar/act.php?id=BOE-A-2011-3170</w:t>
      </w:r>
    </w:p>
    <w:p>
      <w:pPr>
        <w:spacing w:after="140"/>
      </w:pPr>
      <w:r>
        <w:rPr>
          <w:b/>
          <w:bCs/>
        </w:rPr>
        <w:t xml:space="preserve">Real Decreto 2364/1994, de 9 de diciembre, Reglamento de Seguridad Privada, art. 42.3</w:t>
      </w:r>
    </w:p>
    <w:p>
      <w:pPr>
        <w:spacing w:after="140"/>
      </w:pPr>
      <w:r>
        <w:rPr>
          <w:b w:val="false"/>
          <w:bCs w:val="false"/>
        </w:rPr>
        <w:t xml:space="preserve">Una vez realizada la instalación, las empresas instaladoras efectuarán las comprobaciones necesarias para asegurarse de que se cumple su finalidad preventiva y protectora, y de que es conforme con el proyecto contratado y con las disposiciones reguladoras de la materia, debiendo entregar a la entidad o establecimiento usuarios un certificado en el que conste el resultado positivo de las comprobaciones efectuadas.</w:t>
      </w:r>
    </w:p>
    <w:p>
      <w:pPr>
        <w:spacing w:after="140"/>
      </w:pPr>
      <w:r>
        <w:rPr>
          <w:b w:val="false"/>
          <w:bCs w:val="false"/>
        </w:rPr>
        <w:t xml:space="preserve">https://www.boe.es/buscar/act.php?id=BOE-A-1995-608</w:t>
      </w:r>
    </w:p>
    <w:p>
      <w:pPr>
        <w:spacing w:after="140"/>
      </w:pPr>
      <w:r>
        <w:rPr>
          <w:b/>
          <w:bCs/>
        </w:rPr>
        <w:t xml:space="preserve">Orden INT/316/2011, de 1 de febrero, sobre funcionamiento de los sistemas de alarma en el ámbito de la seguridad privada, art. 3.1</w:t>
      </w:r>
    </w:p>
    <w:p>
      <w:pPr>
        <w:spacing w:after="140"/>
      </w:pPr>
      <w:r>
        <w:rPr>
          <w:b w:val="false"/>
          <w:bCs w:val="false"/>
        </w:rPr>
        <w:t xml:space="preserve">Cualquier elemento o dispositivo que forme parte de un sistema de alarma deberá cumplir, como mínimo, el grado y características establecidas en las Normas UNE-EN 50130 y UNE-EN 50131.</w:t>
      </w:r>
    </w:p>
    <w:p>
      <w:pPr>
        <w:spacing w:after="140"/>
      </w:pPr>
      <w:r>
        <w:rPr>
          <w:b w:val="false"/>
          <w:bCs w:val="false"/>
        </w:rPr>
        <w:t xml:space="preserve">https://www.boe.es/buscar/act.php?id=BOE-A-2011-3170</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475569"/>
        <w:sz w:val="16"/>
        <w:szCs w:val="16"/>
      </w:rPr>
      <w:t xml:space="preserve">tramitaia.es    </w:t>
    </w:r>
    <w:r>
      <w:rPr>
        <w:color w:val="475569"/>
        <w:sz w:val="16"/>
        <w:szCs w:val="16"/>
      </w:rPr>
      <w:fldChar w:fldCharType="begin"/>
      <w:instrText xml:space="preserve">PAGE</w:instrText>
      <w:fldChar w:fldCharType="separate"/>
      <w:fldChar w:fldCharType="end"/>
    </w:r>
    <w:r>
      <w:rPr>
        <w:color w:val="475569"/>
        <w:sz w:val="16"/>
        <w:szCs w:val="16"/>
      </w:rPr>
      <w:t xml:space="preserve"> de </w:t>
    </w:r>
    <w:r>
      <w:rPr>
        <w:color w:val="47556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F172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F172A"/>
      <w:sz w:val="30"/>
      <w:szCs w:val="30"/>
    </w:rPr>
  </w:style>
  <w:style w:type="paragraph" w:styleId="Heading2">
    <w:name w:val="Heading 2"/>
    <w:basedOn w:val="Normal"/>
    <w:next w:val="Normal"/>
    <w:qFormat/>
    <w:rPr>
      <w:rFonts w:ascii="Calibri" w:cs="Calibri" w:eastAsia="Calibri" w:hAnsi="Calibri"/>
      <w:b/>
      <w:bCs/>
      <w:color w:val="0F172A"/>
      <w:sz w:val="25"/>
      <w:szCs w:val="25"/>
    </w:rPr>
  </w:style>
  <w:style w:type="paragraph" w:styleId="Heading3">
    <w:name w:val="Heading 3"/>
    <w:basedOn w:val="Normal"/>
    <w:next w:val="Normal"/>
    <w:qFormat/>
    <w:rPr>
      <w:rFonts w:ascii="Calibri" w:cs="Calibri" w:eastAsia="Calibri" w:hAnsi="Calibri"/>
      <w:b/>
      <w:bCs/>
      <w:color w:val="475569"/>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Sistema de la joyería del otro ejemplo, ya proyectado</dc:title>
  <dc:creator>tramitaIA</dc:creator>
  <cp:lastModifiedBy>Un-named</cp:lastModifiedBy>
  <cp:revision>1</cp:revision>
  <dcterms:created xsi:type="dcterms:W3CDTF">2026-09-07T16:57:25.177Z</dcterms:created>
  <dcterms:modified xsi:type="dcterms:W3CDTF">2026-09-07T16:57:25.177Z</dcterms:modified>
</cp:coreProperties>
</file>

<file path=docProps/custom.xml><?xml version="1.0" encoding="utf-8"?>
<Properties xmlns="http://schemas.openxmlformats.org/officeDocument/2006/custom-properties" xmlns:vt="http://schemas.openxmlformats.org/officeDocument/2006/docPropsVTypes"/>
</file>