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D4ED8"/>
          <w:sz w:val="18"/>
          <w:szCs w:val="18"/>
        </w:rPr>
        <w:t xml:space="preserve">RECLAMACIÓN SISTEMÁTICA DE IMPAGADOS</w:t>
      </w:r>
    </w:p>
    <w:p>
      <w:pPr>
        <w:pStyle w:val="Title"/>
        <w:spacing w:after="120"/>
      </w:pPr>
      <w:r>
        <w:rPr>
          <w:b/>
          <w:bCs/>
          <w:color w:val="0F172A"/>
          <w:sz w:val="40"/>
          <w:szCs w:val="40"/>
        </w:rPr>
        <w:t xml:space="preserve">Cuatro facturas impagadas de una constructora</w:t>
      </w:r>
    </w:p>
    <w:p>
      <w:pPr>
        <w:pBdr>
          <w:bottom w:val="single" w:color="CBD5E1" w:sz="6" w:space="10"/>
        </w:pBdr>
        <w:spacing w:after="320"/>
      </w:pPr>
      <w:r>
        <w:rPr>
          <w:b w:val="false"/>
          <w:bCs w:val="false"/>
          <w:i/>
          <w:iCs/>
          <w:color w:val="475569"/>
          <w:sz w:val="19"/>
          <w:szCs w:val="19"/>
        </w:rPr>
        <w:t xml:space="preserve">Ejemplo real generado con el mismo motor que sirve a los clientes. Las facturas son inventadas. Están puestas para que se vea lo que casi nadie calcula bien: el tipo de interés cambió el 1 de julio, así que el retraso se parte en dos tramos con tipos distintos. Y una lleva un plazo pactado de noventa días, que la ley no permite. Generado el 3 de septiembre de 2026.</w:t>
      </w:r>
    </w:p>
    <w:p>
      <w:pPr>
        <w:spacing w:after="200"/>
      </w:pPr>
      <w:r>
        <w:rPr>
          <w:b/>
          <w:bCs/>
          <w:color w:val="1D4ED8"/>
          <w:sz w:val="18"/>
          <w:szCs w:val="18"/>
        </w:rPr>
        <w:t xml:space="preserve">REQUERIMIENTO DE PAGO — CONSTRUCCIONES AGUILAR E HIJOS S.L.</w:t>
      </w:r>
    </w:p>
    <w:p>
      <w:pPr>
        <w:pStyle w:val="Heading1"/>
        <w:spacing w:after="140" w:before="0"/>
      </w:pPr>
      <w:r>
        <w:rPr>
          <w:b w:val="false"/>
          <w:bCs w:val="false"/>
        </w:rPr>
        <w:t xml:space="preserve">Requerimiento de pago</w:t>
      </w:r>
    </w:p>
    <w:p>
      <w:pPr>
        <w:spacing w:after="140"/>
      </w:pPr>
      <w:r>
        <w:rPr>
          <w:b/>
          <w:bCs/>
        </w:rPr>
        <w:t xml:space="preserve">De:</w:t>
      </w:r>
      <w:r>
        <w:rPr>
          <w:b w:val="false"/>
          <w:bCs w:val="false"/>
        </w:rPr>
        <w:t xml:space="preserve"> Climatizaciones del Segura S.L. · B73000000 · Polígono Oeste, nave 12, 30169 Murcia</w:t>
      </w:r>
    </w:p>
    <w:p>
      <w:pPr>
        <w:spacing w:after="140"/>
      </w:pPr>
      <w:r>
        <w:rPr>
          <w:b/>
          <w:bCs/>
        </w:rPr>
        <w:t xml:space="preserve">A:</w:t>
      </w:r>
      <w:r>
        <w:rPr>
          <w:b w:val="false"/>
          <w:bCs w:val="false"/>
        </w:rPr>
        <w:t xml:space="preserve"> Construcciones Aguilar e Hijos S.L. · B73999999 · Avenida de Europa 44, 30500 Molina de Segura, Murcia</w:t>
      </w:r>
    </w:p>
    <w:p>
      <w:pPr>
        <w:spacing w:after="140"/>
      </w:pPr>
      <w:r>
        <w:rPr>
          <w:b/>
          <w:bCs/>
        </w:rPr>
        <w:t xml:space="preserve">Fecha:</w:t>
      </w:r>
      <w:r>
        <w:rPr>
          <w:b w:val="false"/>
          <w:bCs w:val="false"/>
        </w:rPr>
        <w:t xml:space="preserve"> 2026-09-03</w:t>
      </w:r>
    </w:p>
    <w:p>
      <w:pPr>
        <w:spacing w:after="140"/>
      </w:pPr>
      <w:r>
        <w:rPr>
          <w:b w:val="false"/>
          <w:bCs w:val="false"/>
        </w:rPr>
        <w:t xml:space="preserve">Le requerimos el pago de las facturas que se relacionan a continuación, vencidas e impagadas. El plazo de pago de cada una se ha computado desde la entrega o la prestación, conforme al artículo 4 de la Ley 3/2004.</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Factura</w:t>
            </w:r>
          </w:p>
        </w:tc>
        <w:tc>
          <w:tcPr>
            <w:shd w:fill="F1F5F9" w:val="clear"/>
            <w:tcMar>
              <w:top w:type="dxa" w:w="80"/>
              <w:left w:type="dxa" w:w="120"/>
              <w:bottom w:type="dxa" w:w="80"/>
              <w:right w:type="dxa" w:w="120"/>
            </w:tcMar>
          </w:tcPr>
          <w:p>
            <w:pPr>
              <w:spacing w:after="0" w:before="0"/>
            </w:pPr>
            <w:r>
              <w:rPr>
                <w:b/>
                <w:bCs/>
                <w:color w:val="0F172A"/>
                <w:sz w:val="19"/>
                <w:szCs w:val="19"/>
              </w:rPr>
              <w:t xml:space="preserve">Entrega</w:t>
            </w:r>
          </w:p>
        </w:tc>
        <w:tc>
          <w:tcPr>
            <w:shd w:fill="F1F5F9" w:val="clear"/>
            <w:tcMar>
              <w:top w:type="dxa" w:w="80"/>
              <w:left w:type="dxa" w:w="120"/>
              <w:bottom w:type="dxa" w:w="80"/>
              <w:right w:type="dxa" w:w="120"/>
            </w:tcMar>
          </w:tcPr>
          <w:p>
            <w:pPr>
              <w:spacing w:after="0" w:before="0"/>
            </w:pPr>
            <w:r>
              <w:rPr>
                <w:b/>
                <w:bCs/>
                <w:color w:val="0F172A"/>
                <w:sz w:val="19"/>
                <w:szCs w:val="19"/>
              </w:rPr>
              <w:t xml:space="preserve">Vencimiento</w:t>
            </w:r>
          </w:p>
        </w:tc>
        <w:tc>
          <w:tcPr>
            <w:shd w:fill="F1F5F9" w:val="clear"/>
            <w:tcMar>
              <w:top w:type="dxa" w:w="80"/>
              <w:left w:type="dxa" w:w="120"/>
              <w:bottom w:type="dxa" w:w="80"/>
              <w:right w:type="dxa" w:w="120"/>
            </w:tcMar>
          </w:tcPr>
          <w:p>
            <w:pPr>
              <w:spacing w:after="0" w:before="0"/>
            </w:pPr>
            <w:r>
              <w:rPr>
                <w:b/>
                <w:bCs/>
                <w:color w:val="0F172A"/>
                <w:sz w:val="19"/>
                <w:szCs w:val="19"/>
              </w:rPr>
              <w:t xml:space="preserve">Pendiente</w:t>
            </w:r>
          </w:p>
        </w:tc>
        <w:tc>
          <w:tcPr>
            <w:shd w:fill="F1F5F9" w:val="clear"/>
            <w:tcMar>
              <w:top w:type="dxa" w:w="80"/>
              <w:left w:type="dxa" w:w="120"/>
              <w:bottom w:type="dxa" w:w="80"/>
              <w:right w:type="dxa" w:w="120"/>
            </w:tcMar>
          </w:tcPr>
          <w:p>
            <w:pPr>
              <w:spacing w:after="0" w:before="0"/>
            </w:pPr>
            <w:r>
              <w:rPr>
                <w:b/>
                <w:bCs/>
                <w:color w:val="0F172A"/>
                <w:sz w:val="19"/>
                <w:szCs w:val="19"/>
              </w:rPr>
              <w:t xml:space="preserve">Días</w:t>
            </w:r>
          </w:p>
        </w:tc>
        <w:tc>
          <w:tcPr>
            <w:shd w:fill="F1F5F9" w:val="clear"/>
            <w:tcMar>
              <w:top w:type="dxa" w:w="80"/>
              <w:left w:type="dxa" w:w="120"/>
              <w:bottom w:type="dxa" w:w="80"/>
              <w:right w:type="dxa" w:w="120"/>
            </w:tcMar>
          </w:tcPr>
          <w:p>
            <w:pPr>
              <w:spacing w:after="0" w:before="0"/>
            </w:pPr>
            <w:r>
              <w:rPr>
                <w:b/>
                <w:bCs/>
                <w:color w:val="0F172A"/>
                <w:sz w:val="19"/>
                <w:szCs w:val="19"/>
              </w:rPr>
              <w:t xml:space="preserve">Interés</w:t>
            </w:r>
          </w:p>
        </w:tc>
      </w:tr>
      <w:tr>
        <w:tc>
          <w:tcPr>
            <w:tcMar>
              <w:top w:type="dxa" w:w="80"/>
              <w:left w:type="dxa" w:w="120"/>
              <w:bottom w:type="dxa" w:w="80"/>
              <w:right w:type="dxa" w:w="120"/>
            </w:tcMar>
          </w:tcPr>
          <w:p>
            <w:pPr>
              <w:spacing w:after="0" w:before="0"/>
            </w:pPr>
            <w:r>
              <w:rPr>
                <w:b w:val="false"/>
                <w:bCs w:val="false"/>
                <w:color w:val="0F172A"/>
                <w:sz w:val="19"/>
                <w:szCs w:val="19"/>
              </w:rPr>
              <w:t xml:space="preserve">F-2026-0142</w:t>
            </w:r>
          </w:p>
        </w:tc>
        <w:tc>
          <w:tcPr>
            <w:tcMar>
              <w:top w:type="dxa" w:w="80"/>
              <w:left w:type="dxa" w:w="120"/>
              <w:bottom w:type="dxa" w:w="80"/>
              <w:right w:type="dxa" w:w="120"/>
            </w:tcMar>
          </w:tcPr>
          <w:p>
            <w:pPr>
              <w:spacing w:after="0" w:before="0"/>
            </w:pPr>
            <w:r>
              <w:rPr>
                <w:b w:val="false"/>
                <w:bCs w:val="false"/>
                <w:color w:val="0F172A"/>
                <w:sz w:val="19"/>
                <w:szCs w:val="19"/>
              </w:rPr>
              <w:t xml:space="preserve">2026-03-12</w:t>
            </w:r>
          </w:p>
        </w:tc>
        <w:tc>
          <w:tcPr>
            <w:tcMar>
              <w:top w:type="dxa" w:w="80"/>
              <w:left w:type="dxa" w:w="120"/>
              <w:bottom w:type="dxa" w:w="80"/>
              <w:right w:type="dxa" w:w="120"/>
            </w:tcMar>
          </w:tcPr>
          <w:p>
            <w:pPr>
              <w:spacing w:after="0" w:before="0"/>
            </w:pPr>
            <w:r>
              <w:rPr>
                <w:b w:val="false"/>
                <w:bCs w:val="false"/>
                <w:color w:val="0F172A"/>
                <w:sz w:val="19"/>
                <w:szCs w:val="19"/>
              </w:rPr>
              <w:t xml:space="preserve">2026-05-11</w:t>
            </w:r>
          </w:p>
        </w:tc>
        <w:tc>
          <w:tcPr>
            <w:tcMar>
              <w:top w:type="dxa" w:w="80"/>
              <w:left w:type="dxa" w:w="120"/>
              <w:bottom w:type="dxa" w:w="80"/>
              <w:right w:type="dxa" w:w="120"/>
            </w:tcMar>
          </w:tcPr>
          <w:p>
            <w:pPr>
              <w:spacing w:after="0" w:before="0"/>
            </w:pPr>
            <w:r>
              <w:rPr>
                <w:b w:val="false"/>
                <w:bCs w:val="false"/>
                <w:color w:val="0F172A"/>
                <w:sz w:val="19"/>
                <w:szCs w:val="19"/>
              </w:rPr>
              <w:t xml:space="preserve">4.850,00 €</w:t>
            </w:r>
          </w:p>
        </w:tc>
        <w:tc>
          <w:tcPr>
            <w:tcMar>
              <w:top w:type="dxa" w:w="80"/>
              <w:left w:type="dxa" w:w="120"/>
              <w:bottom w:type="dxa" w:w="80"/>
              <w:right w:type="dxa" w:w="120"/>
            </w:tcMar>
          </w:tcPr>
          <w:p>
            <w:pPr>
              <w:spacing w:after="0" w:before="0"/>
            </w:pPr>
            <w:r>
              <w:rPr>
                <w:b w:val="false"/>
                <w:bCs w:val="false"/>
                <w:color w:val="0F172A"/>
                <w:sz w:val="19"/>
                <w:szCs w:val="19"/>
              </w:rPr>
              <w:t xml:space="preserve">115</w:t>
            </w:r>
          </w:p>
        </w:tc>
        <w:tc>
          <w:tcPr>
            <w:tcMar>
              <w:top w:type="dxa" w:w="80"/>
              <w:left w:type="dxa" w:w="120"/>
              <w:bottom w:type="dxa" w:w="80"/>
              <w:right w:type="dxa" w:w="120"/>
            </w:tcMar>
          </w:tcPr>
          <w:p>
            <w:pPr>
              <w:spacing w:after="0" w:before="0"/>
            </w:pPr>
            <w:r>
              <w:rPr>
                <w:b w:val="false"/>
                <w:bCs w:val="false"/>
                <w:color w:val="0F172A"/>
                <w:sz w:val="19"/>
                <w:szCs w:val="19"/>
              </w:rPr>
              <w:t xml:space="preserve">157,22 €</w:t>
            </w:r>
          </w:p>
        </w:tc>
      </w:tr>
      <w:tr>
        <w:tc>
          <w:tcPr>
            <w:tcMar>
              <w:top w:type="dxa" w:w="80"/>
              <w:left w:type="dxa" w:w="120"/>
              <w:bottom w:type="dxa" w:w="80"/>
              <w:right w:type="dxa" w:w="120"/>
            </w:tcMar>
          </w:tcPr>
          <w:p>
            <w:pPr>
              <w:spacing w:after="0" w:before="0"/>
            </w:pPr>
            <w:r>
              <w:rPr>
                <w:b w:val="false"/>
                <w:bCs w:val="false"/>
                <w:color w:val="0F172A"/>
                <w:sz w:val="19"/>
                <w:szCs w:val="19"/>
              </w:rPr>
              <w:t xml:space="preserve">F-2026-0198</w:t>
            </w:r>
          </w:p>
        </w:tc>
        <w:tc>
          <w:tcPr>
            <w:tcMar>
              <w:top w:type="dxa" w:w="80"/>
              <w:left w:type="dxa" w:w="120"/>
              <w:bottom w:type="dxa" w:w="80"/>
              <w:right w:type="dxa" w:w="120"/>
            </w:tcMar>
          </w:tcPr>
          <w:p>
            <w:pPr>
              <w:spacing w:after="0" w:before="0"/>
            </w:pPr>
            <w:r>
              <w:rPr>
                <w:b w:val="false"/>
                <w:bCs w:val="false"/>
                <w:color w:val="0F172A"/>
                <w:sz w:val="19"/>
                <w:szCs w:val="19"/>
              </w:rPr>
              <w:t xml:space="preserve">2026-04-28</w:t>
            </w:r>
          </w:p>
        </w:tc>
        <w:tc>
          <w:tcPr>
            <w:tcMar>
              <w:top w:type="dxa" w:w="80"/>
              <w:left w:type="dxa" w:w="120"/>
              <w:bottom w:type="dxa" w:w="80"/>
              <w:right w:type="dxa" w:w="120"/>
            </w:tcMar>
          </w:tcPr>
          <w:p>
            <w:pPr>
              <w:spacing w:after="0" w:before="0"/>
            </w:pPr>
            <w:r>
              <w:rPr>
                <w:b w:val="false"/>
                <w:bCs w:val="false"/>
                <w:color w:val="0F172A"/>
                <w:sz w:val="19"/>
                <w:szCs w:val="19"/>
              </w:rPr>
              <w:t xml:space="preserve">2026-06-27</w:t>
            </w:r>
          </w:p>
        </w:tc>
        <w:tc>
          <w:tcPr>
            <w:tcMar>
              <w:top w:type="dxa" w:w="80"/>
              <w:left w:type="dxa" w:w="120"/>
              <w:bottom w:type="dxa" w:w="80"/>
              <w:right w:type="dxa" w:w="120"/>
            </w:tcMar>
          </w:tcPr>
          <w:p>
            <w:pPr>
              <w:spacing w:after="0" w:before="0"/>
            </w:pPr>
            <w:r>
              <w:rPr>
                <w:b w:val="false"/>
                <w:bCs w:val="false"/>
                <w:color w:val="0F172A"/>
                <w:sz w:val="19"/>
                <w:szCs w:val="19"/>
              </w:rPr>
              <w:t xml:space="preserve">1.230,50 €</w:t>
            </w:r>
          </w:p>
        </w:tc>
        <w:tc>
          <w:tcPr>
            <w:tcMar>
              <w:top w:type="dxa" w:w="80"/>
              <w:left w:type="dxa" w:w="120"/>
              <w:bottom w:type="dxa" w:w="80"/>
              <w:right w:type="dxa" w:w="120"/>
            </w:tcMar>
          </w:tcPr>
          <w:p>
            <w:pPr>
              <w:spacing w:after="0" w:before="0"/>
            </w:pPr>
            <w:r>
              <w:rPr>
                <w:b w:val="false"/>
                <w:bCs w:val="false"/>
                <w:color w:val="0F172A"/>
                <w:sz w:val="19"/>
                <w:szCs w:val="19"/>
              </w:rPr>
              <w:t xml:space="preserve">68</w:t>
            </w:r>
          </w:p>
        </w:tc>
        <w:tc>
          <w:tcPr>
            <w:tcMar>
              <w:top w:type="dxa" w:w="80"/>
              <w:left w:type="dxa" w:w="120"/>
              <w:bottom w:type="dxa" w:w="80"/>
              <w:right w:type="dxa" w:w="120"/>
            </w:tcMar>
          </w:tcPr>
          <w:p>
            <w:pPr>
              <w:spacing w:after="0" w:before="0"/>
            </w:pPr>
            <w:r>
              <w:rPr>
                <w:b w:val="false"/>
                <w:bCs w:val="false"/>
                <w:color w:val="0F172A"/>
                <w:sz w:val="19"/>
                <w:szCs w:val="19"/>
              </w:rPr>
              <w:t xml:space="preserve">23,81 €</w:t>
            </w:r>
          </w:p>
        </w:tc>
      </w:tr>
      <w:tr>
        <w:tc>
          <w:tcPr>
            <w:tcMar>
              <w:top w:type="dxa" w:w="80"/>
              <w:left w:type="dxa" w:w="120"/>
              <w:bottom w:type="dxa" w:w="80"/>
              <w:right w:type="dxa" w:w="120"/>
            </w:tcMar>
          </w:tcPr>
          <w:p>
            <w:pPr>
              <w:spacing w:after="0" w:before="0"/>
            </w:pPr>
            <w:r>
              <w:rPr>
                <w:b w:val="false"/>
                <w:bCs w:val="false"/>
                <w:color w:val="0F172A"/>
                <w:sz w:val="19"/>
                <w:szCs w:val="19"/>
              </w:rPr>
              <w:t xml:space="preserve">F-2026-0221</w:t>
            </w:r>
          </w:p>
        </w:tc>
        <w:tc>
          <w:tcPr>
            <w:tcMar>
              <w:top w:type="dxa" w:w="80"/>
              <w:left w:type="dxa" w:w="120"/>
              <w:bottom w:type="dxa" w:w="80"/>
              <w:right w:type="dxa" w:w="120"/>
            </w:tcMar>
          </w:tcPr>
          <w:p>
            <w:pPr>
              <w:spacing w:after="0" w:before="0"/>
            </w:pPr>
            <w:r>
              <w:rPr>
                <w:b w:val="false"/>
                <w:bCs w:val="false"/>
                <w:color w:val="0F172A"/>
                <w:sz w:val="19"/>
                <w:szCs w:val="19"/>
              </w:rPr>
              <w:t xml:space="preserve">2026-05-30</w:t>
            </w:r>
          </w:p>
        </w:tc>
        <w:tc>
          <w:tcPr>
            <w:tcMar>
              <w:top w:type="dxa" w:w="80"/>
              <w:left w:type="dxa" w:w="120"/>
              <w:bottom w:type="dxa" w:w="80"/>
              <w:right w:type="dxa" w:w="120"/>
            </w:tcMar>
          </w:tcPr>
          <w:p>
            <w:pPr>
              <w:spacing w:after="0" w:before="0"/>
            </w:pPr>
            <w:r>
              <w:rPr>
                <w:b w:val="false"/>
                <w:bCs w:val="false"/>
                <w:color w:val="0F172A"/>
                <w:sz w:val="19"/>
                <w:szCs w:val="19"/>
              </w:rPr>
              <w:t xml:space="preserve">2026-06-29</w:t>
            </w:r>
          </w:p>
        </w:tc>
        <w:tc>
          <w:tcPr>
            <w:tcMar>
              <w:top w:type="dxa" w:w="80"/>
              <w:left w:type="dxa" w:w="120"/>
              <w:bottom w:type="dxa" w:w="80"/>
              <w:right w:type="dxa" w:w="120"/>
            </w:tcMar>
          </w:tcPr>
          <w:p>
            <w:pPr>
              <w:spacing w:after="0" w:before="0"/>
            </w:pPr>
            <w:r>
              <w:rPr>
                <w:b w:val="false"/>
                <w:bCs w:val="false"/>
                <w:color w:val="0F172A"/>
                <w:sz w:val="19"/>
                <w:szCs w:val="19"/>
              </w:rPr>
              <w:t xml:space="preserve">2.120,00 €</w:t>
            </w:r>
          </w:p>
        </w:tc>
        <w:tc>
          <w:tcPr>
            <w:tcMar>
              <w:top w:type="dxa" w:w="80"/>
              <w:left w:type="dxa" w:w="120"/>
              <w:bottom w:type="dxa" w:w="80"/>
              <w:right w:type="dxa" w:w="120"/>
            </w:tcMar>
          </w:tcPr>
          <w:p>
            <w:pPr>
              <w:spacing w:after="0" w:before="0"/>
            </w:pPr>
            <w:r>
              <w:rPr>
                <w:b w:val="false"/>
                <w:bCs w:val="false"/>
                <w:color w:val="0F172A"/>
                <w:sz w:val="19"/>
                <w:szCs w:val="19"/>
              </w:rPr>
              <w:t xml:space="preserve">66</w:t>
            </w:r>
          </w:p>
        </w:tc>
        <w:tc>
          <w:tcPr>
            <w:tcMar>
              <w:top w:type="dxa" w:w="80"/>
              <w:left w:type="dxa" w:w="120"/>
              <w:bottom w:type="dxa" w:w="80"/>
              <w:right w:type="dxa" w:w="120"/>
            </w:tcMar>
          </w:tcPr>
          <w:p>
            <w:pPr>
              <w:spacing w:after="0" w:before="0"/>
            </w:pPr>
            <w:r>
              <w:rPr>
                <w:b w:val="false"/>
                <w:bCs w:val="false"/>
                <w:color w:val="0F172A"/>
                <w:sz w:val="19"/>
                <w:szCs w:val="19"/>
              </w:rPr>
              <w:t xml:space="preserve">39,84 €</w:t>
            </w:r>
          </w:p>
        </w:tc>
      </w:tr>
    </w:tbl>
    <w:p>
      <w:pPr>
        <w:spacing w:after="160"/>
      </w:pP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
            </w:r>
          </w:p>
        </w:tc>
        <w:tc>
          <w:tcPr>
            <w:shd w:fill="F1F5F9" w:val="clear"/>
            <w:tcMar>
              <w:top w:type="dxa" w:w="80"/>
              <w:left w:type="dxa" w:w="120"/>
              <w:bottom w:type="dxa" w:w="80"/>
              <w:right w:type="dxa" w:w="120"/>
            </w:tcMar>
          </w:tcPr>
          <w:p>
            <w:pPr>
              <w:spacing w:after="0" w:before="0"/>
            </w:pPr>
            <w:r>
              <w:rPr>
                <w:b/>
                <w:bCs/>
                <w:color w:val="0F172A"/>
                <w:sz w:val="19"/>
                <w:szCs w:val="19"/>
              </w:rPr>
              <w:t xml:space="preserve"/>
            </w:r>
          </w:p>
        </w:tc>
      </w:tr>
      <w:tr>
        <w:tc>
          <w:tcPr>
            <w:tcMar>
              <w:top w:type="dxa" w:w="80"/>
              <w:left w:type="dxa" w:w="120"/>
              <w:bottom w:type="dxa" w:w="80"/>
              <w:right w:type="dxa" w:w="120"/>
            </w:tcMar>
          </w:tcPr>
          <w:p>
            <w:pPr>
              <w:spacing w:after="0" w:before="0"/>
            </w:pPr>
            <w:r>
              <w:rPr>
                <w:b w:val="false"/>
                <w:bCs w:val="false"/>
                <w:color w:val="0F172A"/>
                <w:sz w:val="19"/>
                <w:szCs w:val="19"/>
              </w:rPr>
              <w:t xml:space="preserve">Principal</w:t>
            </w:r>
          </w:p>
        </w:tc>
        <w:tc>
          <w:tcPr>
            <w:tcMar>
              <w:top w:type="dxa" w:w="80"/>
              <w:left w:type="dxa" w:w="120"/>
              <w:bottom w:type="dxa" w:w="80"/>
              <w:right w:type="dxa" w:w="120"/>
            </w:tcMar>
          </w:tcPr>
          <w:p>
            <w:pPr>
              <w:spacing w:after="0" w:before="0"/>
            </w:pPr>
            <w:r>
              <w:rPr>
                <w:b w:val="false"/>
                <w:bCs w:val="false"/>
                <w:color w:val="0F172A"/>
                <w:sz w:val="19"/>
                <w:szCs w:val="19"/>
              </w:rPr>
              <w:t xml:space="preserve">8.200,50 €</w:t>
            </w:r>
          </w:p>
        </w:tc>
      </w:tr>
      <w:tr>
        <w:tc>
          <w:tcPr>
            <w:tcMar>
              <w:top w:type="dxa" w:w="80"/>
              <w:left w:type="dxa" w:w="120"/>
              <w:bottom w:type="dxa" w:w="80"/>
              <w:right w:type="dxa" w:w="120"/>
            </w:tcMar>
          </w:tcPr>
          <w:p>
            <w:pPr>
              <w:spacing w:after="0" w:before="0"/>
            </w:pPr>
            <w:r>
              <w:rPr>
                <w:b w:val="false"/>
                <w:bCs w:val="false"/>
                <w:color w:val="0F172A"/>
                <w:sz w:val="19"/>
                <w:szCs w:val="19"/>
              </w:rPr>
              <w:t xml:space="preserve">Intereses de demora</w:t>
            </w:r>
          </w:p>
        </w:tc>
        <w:tc>
          <w:tcPr>
            <w:tcMar>
              <w:top w:type="dxa" w:w="80"/>
              <w:left w:type="dxa" w:w="120"/>
              <w:bottom w:type="dxa" w:w="80"/>
              <w:right w:type="dxa" w:w="120"/>
            </w:tcMar>
          </w:tcPr>
          <w:p>
            <w:pPr>
              <w:spacing w:after="0" w:before="0"/>
            </w:pPr>
            <w:r>
              <w:rPr>
                <w:b w:val="false"/>
                <w:bCs w:val="false"/>
                <w:color w:val="0F172A"/>
                <w:sz w:val="19"/>
                <w:szCs w:val="19"/>
              </w:rPr>
              <w:t xml:space="preserve">220,87 €</w:t>
            </w:r>
          </w:p>
        </w:tc>
      </w:tr>
      <w:tr>
        <w:tc>
          <w:tcPr>
            <w:tcMar>
              <w:top w:type="dxa" w:w="80"/>
              <w:left w:type="dxa" w:w="120"/>
              <w:bottom w:type="dxa" w:w="80"/>
              <w:right w:type="dxa" w:w="120"/>
            </w:tcMar>
          </w:tcPr>
          <w:p>
            <w:pPr>
              <w:spacing w:after="0" w:before="0"/>
            </w:pPr>
            <w:r>
              <w:rPr>
                <w:b w:val="false"/>
                <w:bCs w:val="false"/>
                <w:color w:val="0F172A"/>
                <w:sz w:val="19"/>
                <w:szCs w:val="19"/>
              </w:rPr>
              <w:t xml:space="preserve">Costes de cobro, 40 € por factura (art. 8.1)</w:t>
            </w:r>
          </w:p>
        </w:tc>
        <w:tc>
          <w:tcPr>
            <w:tcMar>
              <w:top w:type="dxa" w:w="80"/>
              <w:left w:type="dxa" w:w="120"/>
              <w:bottom w:type="dxa" w:w="80"/>
              <w:right w:type="dxa" w:w="120"/>
            </w:tcMar>
          </w:tcPr>
          <w:p>
            <w:pPr>
              <w:spacing w:after="0" w:before="0"/>
            </w:pPr>
            <w:r>
              <w:rPr>
                <w:b w:val="false"/>
                <w:bCs w:val="false"/>
                <w:color w:val="0F172A"/>
                <w:sz w:val="19"/>
                <w:szCs w:val="19"/>
              </w:rPr>
              <w:t xml:space="preserve">120,00 €</w:t>
            </w:r>
          </w:p>
        </w:tc>
      </w:tr>
      <w:tr>
        <w:tc>
          <w:tcPr>
            <w:tcMar>
              <w:top w:type="dxa" w:w="80"/>
              <w:left w:type="dxa" w:w="120"/>
              <w:bottom w:type="dxa" w:w="80"/>
              <w:right w:type="dxa" w:w="120"/>
            </w:tcMar>
          </w:tcPr>
          <w:p>
            <w:pPr>
              <w:spacing w:after="0" w:before="0"/>
            </w:pPr>
            <w:r>
              <w:rPr>
                <w:b/>
                <w:bCs/>
                <w:color w:val="0F172A"/>
                <w:sz w:val="19"/>
                <w:szCs w:val="19"/>
              </w:rPr>
              <w:t xml:space="preserve">Total</w:t>
            </w:r>
          </w:p>
        </w:tc>
        <w:tc>
          <w:tcPr>
            <w:tcMar>
              <w:top w:type="dxa" w:w="80"/>
              <w:left w:type="dxa" w:w="120"/>
              <w:bottom w:type="dxa" w:w="80"/>
              <w:right w:type="dxa" w:w="120"/>
            </w:tcMar>
          </w:tcPr>
          <w:p>
            <w:pPr>
              <w:spacing w:after="0" w:before="0"/>
            </w:pPr>
            <w:r>
              <w:rPr>
                <w:b/>
                <w:bCs/>
                <w:color w:val="0F172A"/>
                <w:sz w:val="19"/>
                <w:szCs w:val="19"/>
              </w:rPr>
              <w:t xml:space="preserve">8.541,37 €</w:t>
            </w:r>
          </w:p>
        </w:tc>
      </w:tr>
    </w:tbl>
    <w:p>
      <w:pPr>
        <w:spacing w:after="160"/>
      </w:pPr>
    </w:p>
    <w:p>
      <w:pPr>
        <w:pStyle w:val="Heading2"/>
        <w:spacing w:after="140" w:before="320"/>
      </w:pPr>
      <w:r>
        <w:rPr>
          <w:b w:val="false"/>
          <w:bCs w:val="false"/>
        </w:rPr>
        <w:t xml:space="preserve">Fundamento</w:t>
      </w:r>
    </w:p>
    <w:p>
      <w:pPr>
        <w:spacing w:after="60"/>
        <w:ind w:left="340" w:hanging="240"/>
      </w:pPr>
      <w:r>
        <w:rPr>
          <w:b/>
          <w:bCs/>
          <w:color w:val="1D4ED8"/>
        </w:rPr>
        <w:t xml:space="preserve">•	</w:t>
      </w:r>
      <w:r>
        <w:rPr>
          <w:b/>
          <w:bCs/>
        </w:rPr>
        <w:t xml:space="preserve">Mora automática.</w:t>
      </w:r>
      <w:r>
        <w:rPr>
          <w:b w:val="false"/>
          <w:bCs w:val="false"/>
        </w:rPr>
        <w:t xml:space="preserve"> El obligado al pago incurrirá en mora y deberá pagar el interés pactado en el contrato o el fijado por esta Ley automáticamente por el mero incumplimiento del pago en el plazo pactado o legalmente establecido, sin necesidad de aviso de vencimiento ni intimación alguna por parte del acreedor. (art. 5.)</w:t>
      </w:r>
    </w:p>
    <w:p>
      <w:pPr>
        <w:spacing w:after="60"/>
        <w:ind w:left="340" w:hanging="240"/>
      </w:pPr>
      <w:r>
        <w:rPr>
          <w:b/>
          <w:bCs/>
          <w:color w:val="1D4ED8"/>
        </w:rPr>
        <w:t xml:space="preserve">•	</w:t>
      </w:r>
      <w:r>
        <w:rPr>
          <w:b/>
          <w:bCs/>
        </w:rPr>
        <w:t xml:space="preserve">Interés de demora.</w:t>
      </w:r>
      <w:r>
        <w:rPr>
          <w:b w:val="false"/>
          <w:bCs w:val="false"/>
        </w:rPr>
        <w:t xml:space="preserve"> El tipo legal de interés de demora que el deudor estará obligado a pagar será la suma del tipo de interés aplicado por el Banco Central Europeo a su más reciente operación principal de financiación efectuada antes del primer día del semestre natural de que se trate más ocho puntos porcentuales. El tipo legal de interés de demora se aplicará durante los seis meses siguientes a su fijación. (art. 7.2.) El detalle tramo a tramo, con el BOE de cada tipo, va en el documento adjunto.</w:t>
      </w:r>
    </w:p>
    <w:p>
      <w:pPr>
        <w:spacing w:after="60"/>
        <w:ind w:left="340" w:hanging="240"/>
      </w:pPr>
      <w:r>
        <w:rPr>
          <w:b/>
          <w:bCs/>
          <w:color w:val="1D4ED8"/>
        </w:rPr>
        <w:t xml:space="preserve">•	</w:t>
      </w:r>
      <w:r>
        <w:rPr>
          <w:b/>
          <w:bCs/>
        </w:rPr>
        <w:t xml:space="preserve">Costes de cobro.</w:t>
      </w:r>
      <w:r>
        <w:rPr>
          <w:b w:val="false"/>
          <w:bCs w:val="false"/>
        </w:rPr>
        <w:t xml:space="preserve"> Cuando el deudor incurra en mora, el acreedor tendrá derecho a cobrar del deudor una cantidad fija de 40 euros, que se añadirá en todo caso y sin necesidad de petición expresa a la deuda principal. Además, el acreedor tendrá derecho a reclamar una indemnización por todos los costes de cobro debidamente acreditados que haya sufrido a causa de la mora y que superen esa cantidad. (art. 8.1.)</w:t>
      </w:r>
    </w:p>
    <w:p>
      <w:pPr>
        <w:spacing w:after="140"/>
      </w:pPr>
      <w:r>
        <w:rPr>
          <w:b w:val="false"/>
          <w:bCs w:val="false"/>
        </w:rPr>
        <w:t xml:space="preserve">Los intereses siguen devengándose hasta el pago efectivo. Le rogamos que atienda este requerimiento; en caso contrario nos veremos obligados a reclamar por la vía que corresponda, con los gastos que ello conlleve a su cargo.</w:t>
      </w:r>
    </w:p>
    <w:p>
      <w:pPr>
        <w:pStyle w:val="Heading2"/>
        <w:spacing w:after="140" w:before="320"/>
      </w:pPr>
      <w:r>
        <w:rPr>
          <w:b w:val="false"/>
          <w:bCs w:val="false"/>
        </w:rPr>
        <w:t xml:space="preserve">No se reclaman aquí</w:t>
      </w:r>
    </w:p>
    <w:p>
      <w:pPr>
        <w:spacing w:after="60"/>
        <w:ind w:left="340" w:hanging="240"/>
      </w:pPr>
      <w:r>
        <w:rPr>
          <w:b/>
          <w:bCs/>
          <w:color w:val="1D4ED8"/>
        </w:rPr>
        <w:t xml:space="preserve">•	</w:t>
      </w:r>
      <w:r>
        <w:rPr>
          <w:b w:val="false"/>
          <w:bCs w:val="false"/>
        </w:rPr>
        <w:t xml:space="preserve">F-2026-0304: vence el 2026-09-19, todavía en plazo.</w:t>
      </w:r>
    </w:p>
    <w:p>
      <w:pPr>
        <w:pBdr>
          <w:left w:val="single" w:color="CBD5E1" w:sz="12" w:space="12"/>
        </w:pBdr>
        <w:spacing w:after="160" w:before="120"/>
        <w:ind w:left="340"/>
      </w:pPr>
      <w:r>
        <w:rPr>
          <w:b w:val="false"/>
          <w:bCs w:val="false"/>
          <w:color w:val="475569"/>
        </w:rPr>
        <w:t xml:space="preserve">Esto no es una demanda ni un acto procesal: es un requerimiento extrajudicial. Antes de mandarlo, comprueba que se cumplen los requisitos del artículo 6 —que tú cumpliste y que no te han pagado— y decide tú si lo envías.</w:t>
      </w:r>
    </w:p>
    <w:p>
      <w:r>
        <w:br w:type="page"/>
      </w:r>
    </w:p>
    <w:p>
      <w:pPr>
        <w:spacing w:after="200"/>
      </w:pPr>
      <w:r>
        <w:rPr>
          <w:b/>
          <w:bCs/>
          <w:color w:val="1D4ED8"/>
          <w:sz w:val="18"/>
          <w:szCs w:val="18"/>
        </w:rPr>
        <w:t xml:space="preserve">CÁLCULO DEL INTERÉS, TRAMO A TRAMO — 2026-09-03</w:t>
      </w:r>
    </w:p>
    <w:p>
      <w:pPr>
        <w:pStyle w:val="Heading1"/>
        <w:spacing w:after="140" w:before="0"/>
      </w:pPr>
      <w:r>
        <w:rPr>
          <w:b w:val="false"/>
          <w:bCs w:val="false"/>
        </w:rPr>
        <w:t xml:space="preserve">Cálculo del interés de demora, tramo a tramo</w:t>
      </w:r>
    </w:p>
    <w:p>
      <w:pPr>
        <w:spacing w:after="140"/>
      </w:pPr>
      <w:r>
        <w:rPr>
          <w:b w:val="false"/>
          <w:bCs w:val="false"/>
        </w:rPr>
        <w:t xml:space="preserve">El tipo legal cambia cada semestre y se publica en el BOE (art. 7.3). Aplicar un solo tipo a todo el retraso da un número que no es el que sale de la ley, así que aquí va partido por semestres.</w:t>
      </w:r>
    </w:p>
    <w:p>
      <w:pPr>
        <w:pStyle w:val="Heading2"/>
        <w:spacing w:after="140" w:before="320"/>
      </w:pPr>
      <w:r>
        <w:rPr>
          <w:b w:val="false"/>
          <w:bCs w:val="false"/>
        </w:rPr>
        <w:t xml:space="preserve">F-2026-0142</w:t>
      </w:r>
    </w:p>
    <w:p>
      <w:pPr>
        <w:spacing w:after="140"/>
      </w:pPr>
      <w:r>
        <w:rPr>
          <w:b w:val="false"/>
          <w:bCs w:val="false"/>
        </w:rPr>
        <w:t xml:space="preserve">Entrega el 2026-03-12 · plazo de 60 días · vence el 2026-05-11 Importe 4.850,00 €</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Desde</w:t>
            </w:r>
          </w:p>
        </w:tc>
        <w:tc>
          <w:tcPr>
            <w:shd w:fill="F1F5F9" w:val="clear"/>
            <w:tcMar>
              <w:top w:type="dxa" w:w="80"/>
              <w:left w:type="dxa" w:w="120"/>
              <w:bottom w:type="dxa" w:w="80"/>
              <w:right w:type="dxa" w:w="120"/>
            </w:tcMar>
          </w:tcPr>
          <w:p>
            <w:pPr>
              <w:spacing w:after="0" w:before="0"/>
            </w:pPr>
            <w:r>
              <w:rPr>
                <w:b/>
                <w:bCs/>
                <w:color w:val="0F172A"/>
                <w:sz w:val="19"/>
                <w:szCs w:val="19"/>
              </w:rPr>
              <w:t xml:space="preserve">Hasta</w:t>
            </w:r>
          </w:p>
        </w:tc>
        <w:tc>
          <w:tcPr>
            <w:shd w:fill="F1F5F9" w:val="clear"/>
            <w:tcMar>
              <w:top w:type="dxa" w:w="80"/>
              <w:left w:type="dxa" w:w="120"/>
              <w:bottom w:type="dxa" w:w="80"/>
              <w:right w:type="dxa" w:w="120"/>
            </w:tcMar>
          </w:tcPr>
          <w:p>
            <w:pPr>
              <w:spacing w:after="0" w:before="0"/>
            </w:pPr>
            <w:r>
              <w:rPr>
                <w:b/>
                <w:bCs/>
                <w:color w:val="0F172A"/>
                <w:sz w:val="19"/>
                <w:szCs w:val="19"/>
              </w:rPr>
              <w:t xml:space="preserve">Días</w:t>
            </w:r>
          </w:p>
        </w:tc>
        <w:tc>
          <w:tcPr>
            <w:shd w:fill="F1F5F9" w:val="clear"/>
            <w:tcMar>
              <w:top w:type="dxa" w:w="80"/>
              <w:left w:type="dxa" w:w="120"/>
              <w:bottom w:type="dxa" w:w="80"/>
              <w:right w:type="dxa" w:w="120"/>
            </w:tcMar>
          </w:tcPr>
          <w:p>
            <w:pPr>
              <w:spacing w:after="0" w:before="0"/>
            </w:pPr>
            <w:r>
              <w:rPr>
                <w:b/>
                <w:bCs/>
                <w:color w:val="0F172A"/>
                <w:sz w:val="19"/>
                <w:szCs w:val="19"/>
              </w:rPr>
              <w:t xml:space="preserve">Tipo</w:t>
            </w:r>
          </w:p>
        </w:tc>
        <w:tc>
          <w:tcPr>
            <w:shd w:fill="F1F5F9" w:val="clear"/>
            <w:tcMar>
              <w:top w:type="dxa" w:w="80"/>
              <w:left w:type="dxa" w:w="120"/>
              <w:bottom w:type="dxa" w:w="80"/>
              <w:right w:type="dxa" w:w="120"/>
            </w:tcMar>
          </w:tcPr>
          <w:p>
            <w:pPr>
              <w:spacing w:after="0" w:before="0"/>
            </w:pPr>
            <w:r>
              <w:rPr>
                <w:b/>
                <w:bCs/>
                <w:color w:val="0F172A"/>
                <w:sz w:val="19"/>
                <w:szCs w:val="19"/>
              </w:rPr>
              <w:t xml:space="preserve">Interés</w:t>
            </w:r>
          </w:p>
        </w:tc>
        <w:tc>
          <w:tcPr>
            <w:shd w:fill="F1F5F9" w:val="clear"/>
            <w:tcMar>
              <w:top w:type="dxa" w:w="80"/>
              <w:left w:type="dxa" w:w="120"/>
              <w:bottom w:type="dxa" w:w="80"/>
              <w:right w:type="dxa" w:w="120"/>
            </w:tcMar>
          </w:tcPr>
          <w:p>
            <w:pPr>
              <w:spacing w:after="0" w:before="0"/>
            </w:pPr>
            <w:r>
              <w:rPr>
                <w:b/>
                <w:bCs/>
                <w:color w:val="0F172A"/>
                <w:sz w:val="19"/>
                <w:szCs w:val="19"/>
              </w:rPr>
              <w:t xml:space="preserve">Publicado en</w:t>
            </w:r>
          </w:p>
        </w:tc>
      </w:tr>
      <w:tr>
        <w:tc>
          <w:tcPr>
            <w:tcMar>
              <w:top w:type="dxa" w:w="80"/>
              <w:left w:type="dxa" w:w="120"/>
              <w:bottom w:type="dxa" w:w="80"/>
              <w:right w:type="dxa" w:w="120"/>
            </w:tcMar>
          </w:tcPr>
          <w:p>
            <w:pPr>
              <w:spacing w:after="0" w:before="0"/>
            </w:pPr>
            <w:r>
              <w:rPr>
                <w:b w:val="false"/>
                <w:bCs w:val="false"/>
                <w:color w:val="0F172A"/>
                <w:sz w:val="19"/>
                <w:szCs w:val="19"/>
              </w:rPr>
              <w:t xml:space="preserve">2026-05-11</w:t>
            </w:r>
          </w:p>
        </w:tc>
        <w:tc>
          <w:tcPr>
            <w:tcMar>
              <w:top w:type="dxa" w:w="80"/>
              <w:left w:type="dxa" w:w="120"/>
              <w:bottom w:type="dxa" w:w="80"/>
              <w:right w:type="dxa" w:w="120"/>
            </w:tcMar>
          </w:tcPr>
          <w:p>
            <w:pPr>
              <w:spacing w:after="0" w:before="0"/>
            </w:pPr>
            <w:r>
              <w:rPr>
                <w:b w:val="false"/>
                <w:bCs w:val="false"/>
                <w:color w:val="0F172A"/>
                <w:sz w:val="19"/>
                <w:szCs w:val="19"/>
              </w:rPr>
              <w:t xml:space="preserve">2026-06-30</w:t>
            </w:r>
          </w:p>
        </w:tc>
        <w:tc>
          <w:tcPr>
            <w:tcMar>
              <w:top w:type="dxa" w:w="80"/>
              <w:left w:type="dxa" w:w="120"/>
              <w:bottom w:type="dxa" w:w="80"/>
              <w:right w:type="dxa" w:w="120"/>
            </w:tcMar>
          </w:tcPr>
          <w:p>
            <w:pPr>
              <w:spacing w:after="0" w:before="0"/>
            </w:pPr>
            <w:r>
              <w:rPr>
                <w:b w:val="false"/>
                <w:bCs w:val="false"/>
                <w:color w:val="0F172A"/>
                <w:sz w:val="19"/>
                <w:szCs w:val="19"/>
              </w:rPr>
              <w:t xml:space="preserve">51</w:t>
            </w:r>
          </w:p>
        </w:tc>
        <w:tc>
          <w:tcPr>
            <w:tcMar>
              <w:top w:type="dxa" w:w="80"/>
              <w:left w:type="dxa" w:w="120"/>
              <w:bottom w:type="dxa" w:w="80"/>
              <w:right w:type="dxa" w:w="120"/>
            </w:tcMar>
          </w:tcPr>
          <w:p>
            <w:pPr>
              <w:spacing w:after="0" w:before="0"/>
            </w:pPr>
            <w:r>
              <w:rPr>
                <w:b w:val="false"/>
                <w:bCs w:val="false"/>
                <w:color w:val="0F172A"/>
                <w:sz w:val="19"/>
                <w:szCs w:val="19"/>
              </w:rPr>
              <w:t xml:space="preserve">10,15 %</w:t>
            </w:r>
          </w:p>
        </w:tc>
        <w:tc>
          <w:tcPr>
            <w:tcMar>
              <w:top w:type="dxa" w:w="80"/>
              <w:left w:type="dxa" w:w="120"/>
              <w:bottom w:type="dxa" w:w="80"/>
              <w:right w:type="dxa" w:w="120"/>
            </w:tcMar>
          </w:tcPr>
          <w:p>
            <w:pPr>
              <w:spacing w:after="0" w:before="0"/>
            </w:pPr>
            <w:r>
              <w:rPr>
                <w:b w:val="false"/>
                <w:bCs w:val="false"/>
                <w:color w:val="0F172A"/>
                <w:sz w:val="19"/>
                <w:szCs w:val="19"/>
              </w:rPr>
              <w:t xml:space="preserve">68,78 €</w:t>
            </w:r>
          </w:p>
        </w:tc>
        <w:tc>
          <w:tcPr>
            <w:tcMar>
              <w:top w:type="dxa" w:w="80"/>
              <w:left w:type="dxa" w:w="120"/>
              <w:bottom w:type="dxa" w:w="80"/>
              <w:right w:type="dxa" w:w="120"/>
            </w:tcMar>
          </w:tcPr>
          <w:p>
            <w:pPr>
              <w:spacing w:after="0" w:before="0"/>
            </w:pPr>
            <w:r>
              <w:rPr>
                <w:b w:val="false"/>
                <w:bCs w:val="false"/>
                <w:color w:val="0F172A"/>
                <w:sz w:val="19"/>
                <w:szCs w:val="19"/>
              </w:rPr>
              <w:t xml:space="preserve">BOE-A-2025-27201</w:t>
            </w:r>
          </w:p>
        </w:tc>
      </w:tr>
      <w:tr>
        <w:tc>
          <w:tcPr>
            <w:tcMar>
              <w:top w:type="dxa" w:w="80"/>
              <w:left w:type="dxa" w:w="120"/>
              <w:bottom w:type="dxa" w:w="80"/>
              <w:right w:type="dxa" w:w="120"/>
            </w:tcMar>
          </w:tcPr>
          <w:p>
            <w:pPr>
              <w:spacing w:after="0" w:before="0"/>
            </w:pPr>
            <w:r>
              <w:rPr>
                <w:b w:val="false"/>
                <w:bCs w:val="false"/>
                <w:color w:val="0F172A"/>
                <w:sz w:val="19"/>
                <w:szCs w:val="19"/>
              </w:rPr>
              <w:t xml:space="preserve">2026-07-01</w:t>
            </w:r>
          </w:p>
        </w:tc>
        <w:tc>
          <w:tcPr>
            <w:tcMar>
              <w:top w:type="dxa" w:w="80"/>
              <w:left w:type="dxa" w:w="120"/>
              <w:bottom w:type="dxa" w:w="80"/>
              <w:right w:type="dxa" w:w="120"/>
            </w:tcMar>
          </w:tcPr>
          <w:p>
            <w:pPr>
              <w:spacing w:after="0" w:before="0"/>
            </w:pPr>
            <w:r>
              <w:rPr>
                <w:b w:val="false"/>
                <w:bCs w:val="false"/>
                <w:color w:val="0F172A"/>
                <w:sz w:val="19"/>
                <w:szCs w:val="19"/>
              </w:rPr>
              <w:t xml:space="preserve">2026-09-03</w:t>
            </w:r>
          </w:p>
        </w:tc>
        <w:tc>
          <w:tcPr>
            <w:tcMar>
              <w:top w:type="dxa" w:w="80"/>
              <w:left w:type="dxa" w:w="120"/>
              <w:bottom w:type="dxa" w:w="80"/>
              <w:right w:type="dxa" w:w="120"/>
            </w:tcMar>
          </w:tcPr>
          <w:p>
            <w:pPr>
              <w:spacing w:after="0" w:before="0"/>
            </w:pPr>
            <w:r>
              <w:rPr>
                <w:b w:val="false"/>
                <w:bCs w:val="false"/>
                <w:color w:val="0F172A"/>
                <w:sz w:val="19"/>
                <w:szCs w:val="19"/>
              </w:rPr>
              <w:t xml:space="preserve">64</w:t>
            </w:r>
          </w:p>
        </w:tc>
        <w:tc>
          <w:tcPr>
            <w:tcMar>
              <w:top w:type="dxa" w:w="80"/>
              <w:left w:type="dxa" w:w="120"/>
              <w:bottom w:type="dxa" w:w="80"/>
              <w:right w:type="dxa" w:w="120"/>
            </w:tcMar>
          </w:tcPr>
          <w:p>
            <w:pPr>
              <w:spacing w:after="0" w:before="0"/>
            </w:pPr>
            <w:r>
              <w:rPr>
                <w:b w:val="false"/>
                <w:bCs w:val="false"/>
                <w:color w:val="0F172A"/>
                <w:sz w:val="19"/>
                <w:szCs w:val="19"/>
              </w:rPr>
              <w:t xml:space="preserve">10,40 %</w:t>
            </w:r>
          </w:p>
        </w:tc>
        <w:tc>
          <w:tcPr>
            <w:tcMar>
              <w:top w:type="dxa" w:w="80"/>
              <w:left w:type="dxa" w:w="120"/>
              <w:bottom w:type="dxa" w:w="80"/>
              <w:right w:type="dxa" w:w="120"/>
            </w:tcMar>
          </w:tcPr>
          <w:p>
            <w:pPr>
              <w:spacing w:after="0" w:before="0"/>
            </w:pPr>
            <w:r>
              <w:rPr>
                <w:b w:val="false"/>
                <w:bCs w:val="false"/>
                <w:color w:val="0F172A"/>
                <w:sz w:val="19"/>
                <w:szCs w:val="19"/>
              </w:rPr>
              <w:t xml:space="preserve">88,44 €</w:t>
            </w:r>
          </w:p>
        </w:tc>
        <w:tc>
          <w:tcPr>
            <w:tcMar>
              <w:top w:type="dxa" w:w="80"/>
              <w:left w:type="dxa" w:w="120"/>
              <w:bottom w:type="dxa" w:w="80"/>
              <w:right w:type="dxa" w:w="120"/>
            </w:tcMar>
          </w:tcPr>
          <w:p>
            <w:pPr>
              <w:spacing w:after="0" w:before="0"/>
            </w:pPr>
            <w:r>
              <w:rPr>
                <w:b w:val="false"/>
                <w:bCs w:val="false"/>
                <w:color w:val="0F172A"/>
                <w:sz w:val="19"/>
                <w:szCs w:val="19"/>
              </w:rPr>
              <w:t xml:space="preserve">BOE-A-2026-14327</w:t>
            </w:r>
          </w:p>
        </w:tc>
      </w:tr>
    </w:tbl>
    <w:p>
      <w:pPr>
        <w:spacing w:after="160"/>
      </w:pPr>
    </w:p>
    <w:p>
      <w:pPr>
        <w:spacing w:after="140"/>
      </w:pPr>
      <w:r>
        <w:rPr>
          <w:b/>
          <w:bCs/>
        </w:rPr>
        <w:t xml:space="preserve">Total de intereses: 157,22 €</w:t>
      </w:r>
      <w:r>
        <w:rPr>
          <w:b w:val="false"/>
          <w:bCs w:val="false"/>
        </w:rPr>
        <w:t xml:space="preserve"> sobre 4.850,00 € en 115 días.</w:t>
      </w:r>
    </w:p>
    <w:p>
      <w:pPr>
        <w:pStyle w:val="Heading2"/>
        <w:spacing w:after="140" w:before="320"/>
      </w:pPr>
      <w:r>
        <w:rPr>
          <w:b w:val="false"/>
          <w:bCs w:val="false"/>
        </w:rPr>
        <w:t xml:space="preserve">F-2026-0198</w:t>
      </w:r>
    </w:p>
    <w:p>
      <w:pPr>
        <w:spacing w:after="140"/>
      </w:pPr>
      <w:r>
        <w:rPr>
          <w:b w:val="false"/>
          <w:bCs w:val="false"/>
        </w:rPr>
        <w:t xml:space="preserve">Entrega el 2026-04-28 · plazo de 60 días (pactasteis más, pero el tope legal son sesenta) · vence el 2026-06-27 Importe 1.230,50 €</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Desde</w:t>
            </w:r>
          </w:p>
        </w:tc>
        <w:tc>
          <w:tcPr>
            <w:shd w:fill="F1F5F9" w:val="clear"/>
            <w:tcMar>
              <w:top w:type="dxa" w:w="80"/>
              <w:left w:type="dxa" w:w="120"/>
              <w:bottom w:type="dxa" w:w="80"/>
              <w:right w:type="dxa" w:w="120"/>
            </w:tcMar>
          </w:tcPr>
          <w:p>
            <w:pPr>
              <w:spacing w:after="0" w:before="0"/>
            </w:pPr>
            <w:r>
              <w:rPr>
                <w:b/>
                <w:bCs/>
                <w:color w:val="0F172A"/>
                <w:sz w:val="19"/>
                <w:szCs w:val="19"/>
              </w:rPr>
              <w:t xml:space="preserve">Hasta</w:t>
            </w:r>
          </w:p>
        </w:tc>
        <w:tc>
          <w:tcPr>
            <w:shd w:fill="F1F5F9" w:val="clear"/>
            <w:tcMar>
              <w:top w:type="dxa" w:w="80"/>
              <w:left w:type="dxa" w:w="120"/>
              <w:bottom w:type="dxa" w:w="80"/>
              <w:right w:type="dxa" w:w="120"/>
            </w:tcMar>
          </w:tcPr>
          <w:p>
            <w:pPr>
              <w:spacing w:after="0" w:before="0"/>
            </w:pPr>
            <w:r>
              <w:rPr>
                <w:b/>
                <w:bCs/>
                <w:color w:val="0F172A"/>
                <w:sz w:val="19"/>
                <w:szCs w:val="19"/>
              </w:rPr>
              <w:t xml:space="preserve">Días</w:t>
            </w:r>
          </w:p>
        </w:tc>
        <w:tc>
          <w:tcPr>
            <w:shd w:fill="F1F5F9" w:val="clear"/>
            <w:tcMar>
              <w:top w:type="dxa" w:w="80"/>
              <w:left w:type="dxa" w:w="120"/>
              <w:bottom w:type="dxa" w:w="80"/>
              <w:right w:type="dxa" w:w="120"/>
            </w:tcMar>
          </w:tcPr>
          <w:p>
            <w:pPr>
              <w:spacing w:after="0" w:before="0"/>
            </w:pPr>
            <w:r>
              <w:rPr>
                <w:b/>
                <w:bCs/>
                <w:color w:val="0F172A"/>
                <w:sz w:val="19"/>
                <w:szCs w:val="19"/>
              </w:rPr>
              <w:t xml:space="preserve">Tipo</w:t>
            </w:r>
          </w:p>
        </w:tc>
        <w:tc>
          <w:tcPr>
            <w:shd w:fill="F1F5F9" w:val="clear"/>
            <w:tcMar>
              <w:top w:type="dxa" w:w="80"/>
              <w:left w:type="dxa" w:w="120"/>
              <w:bottom w:type="dxa" w:w="80"/>
              <w:right w:type="dxa" w:w="120"/>
            </w:tcMar>
          </w:tcPr>
          <w:p>
            <w:pPr>
              <w:spacing w:after="0" w:before="0"/>
            </w:pPr>
            <w:r>
              <w:rPr>
                <w:b/>
                <w:bCs/>
                <w:color w:val="0F172A"/>
                <w:sz w:val="19"/>
                <w:szCs w:val="19"/>
              </w:rPr>
              <w:t xml:space="preserve">Interés</w:t>
            </w:r>
          </w:p>
        </w:tc>
        <w:tc>
          <w:tcPr>
            <w:shd w:fill="F1F5F9" w:val="clear"/>
            <w:tcMar>
              <w:top w:type="dxa" w:w="80"/>
              <w:left w:type="dxa" w:w="120"/>
              <w:bottom w:type="dxa" w:w="80"/>
              <w:right w:type="dxa" w:w="120"/>
            </w:tcMar>
          </w:tcPr>
          <w:p>
            <w:pPr>
              <w:spacing w:after="0" w:before="0"/>
            </w:pPr>
            <w:r>
              <w:rPr>
                <w:b/>
                <w:bCs/>
                <w:color w:val="0F172A"/>
                <w:sz w:val="19"/>
                <w:szCs w:val="19"/>
              </w:rPr>
              <w:t xml:space="preserve">Publicado en</w:t>
            </w:r>
          </w:p>
        </w:tc>
      </w:tr>
      <w:tr>
        <w:tc>
          <w:tcPr>
            <w:tcMar>
              <w:top w:type="dxa" w:w="80"/>
              <w:left w:type="dxa" w:w="120"/>
              <w:bottom w:type="dxa" w:w="80"/>
              <w:right w:type="dxa" w:w="120"/>
            </w:tcMar>
          </w:tcPr>
          <w:p>
            <w:pPr>
              <w:spacing w:after="0" w:before="0"/>
            </w:pPr>
            <w:r>
              <w:rPr>
                <w:b w:val="false"/>
                <w:bCs w:val="false"/>
                <w:color w:val="0F172A"/>
                <w:sz w:val="19"/>
                <w:szCs w:val="19"/>
              </w:rPr>
              <w:t xml:space="preserve">2026-06-27</w:t>
            </w:r>
          </w:p>
        </w:tc>
        <w:tc>
          <w:tcPr>
            <w:tcMar>
              <w:top w:type="dxa" w:w="80"/>
              <w:left w:type="dxa" w:w="120"/>
              <w:bottom w:type="dxa" w:w="80"/>
              <w:right w:type="dxa" w:w="120"/>
            </w:tcMar>
          </w:tcPr>
          <w:p>
            <w:pPr>
              <w:spacing w:after="0" w:before="0"/>
            </w:pPr>
            <w:r>
              <w:rPr>
                <w:b w:val="false"/>
                <w:bCs w:val="false"/>
                <w:color w:val="0F172A"/>
                <w:sz w:val="19"/>
                <w:szCs w:val="19"/>
              </w:rPr>
              <w:t xml:space="preserve">2026-06-30</w:t>
            </w:r>
          </w:p>
        </w:tc>
        <w:tc>
          <w:tcPr>
            <w:tcMar>
              <w:top w:type="dxa" w:w="80"/>
              <w:left w:type="dxa" w:w="120"/>
              <w:bottom w:type="dxa" w:w="80"/>
              <w:right w:type="dxa" w:w="120"/>
            </w:tcMar>
          </w:tcPr>
          <w:p>
            <w:pPr>
              <w:spacing w:after="0" w:before="0"/>
            </w:pPr>
            <w:r>
              <w:rPr>
                <w:b w:val="false"/>
                <w:bCs w:val="false"/>
                <w:color w:val="0F172A"/>
                <w:sz w:val="19"/>
                <w:szCs w:val="19"/>
              </w:rPr>
              <w:t xml:space="preserve">4</w:t>
            </w:r>
          </w:p>
        </w:tc>
        <w:tc>
          <w:tcPr>
            <w:tcMar>
              <w:top w:type="dxa" w:w="80"/>
              <w:left w:type="dxa" w:w="120"/>
              <w:bottom w:type="dxa" w:w="80"/>
              <w:right w:type="dxa" w:w="120"/>
            </w:tcMar>
          </w:tcPr>
          <w:p>
            <w:pPr>
              <w:spacing w:after="0" w:before="0"/>
            </w:pPr>
            <w:r>
              <w:rPr>
                <w:b w:val="false"/>
                <w:bCs w:val="false"/>
                <w:color w:val="0F172A"/>
                <w:sz w:val="19"/>
                <w:szCs w:val="19"/>
              </w:rPr>
              <w:t xml:space="preserve">10,15 %</w:t>
            </w:r>
          </w:p>
        </w:tc>
        <w:tc>
          <w:tcPr>
            <w:tcMar>
              <w:top w:type="dxa" w:w="80"/>
              <w:left w:type="dxa" w:w="120"/>
              <w:bottom w:type="dxa" w:w="80"/>
              <w:right w:type="dxa" w:w="120"/>
            </w:tcMar>
          </w:tcPr>
          <w:p>
            <w:pPr>
              <w:spacing w:after="0" w:before="0"/>
            </w:pPr>
            <w:r>
              <w:rPr>
                <w:b w:val="false"/>
                <w:bCs w:val="false"/>
                <w:color w:val="0F172A"/>
                <w:sz w:val="19"/>
                <w:szCs w:val="19"/>
              </w:rPr>
              <w:t xml:space="preserve">1,37 €</w:t>
            </w:r>
          </w:p>
        </w:tc>
        <w:tc>
          <w:tcPr>
            <w:tcMar>
              <w:top w:type="dxa" w:w="80"/>
              <w:left w:type="dxa" w:w="120"/>
              <w:bottom w:type="dxa" w:w="80"/>
              <w:right w:type="dxa" w:w="120"/>
            </w:tcMar>
          </w:tcPr>
          <w:p>
            <w:pPr>
              <w:spacing w:after="0" w:before="0"/>
            </w:pPr>
            <w:r>
              <w:rPr>
                <w:b w:val="false"/>
                <w:bCs w:val="false"/>
                <w:color w:val="0F172A"/>
                <w:sz w:val="19"/>
                <w:szCs w:val="19"/>
              </w:rPr>
              <w:t xml:space="preserve">BOE-A-2025-27201</w:t>
            </w:r>
          </w:p>
        </w:tc>
      </w:tr>
      <w:tr>
        <w:tc>
          <w:tcPr>
            <w:tcMar>
              <w:top w:type="dxa" w:w="80"/>
              <w:left w:type="dxa" w:w="120"/>
              <w:bottom w:type="dxa" w:w="80"/>
              <w:right w:type="dxa" w:w="120"/>
            </w:tcMar>
          </w:tcPr>
          <w:p>
            <w:pPr>
              <w:spacing w:after="0" w:before="0"/>
            </w:pPr>
            <w:r>
              <w:rPr>
                <w:b w:val="false"/>
                <w:bCs w:val="false"/>
                <w:color w:val="0F172A"/>
                <w:sz w:val="19"/>
                <w:szCs w:val="19"/>
              </w:rPr>
              <w:t xml:space="preserve">2026-07-01</w:t>
            </w:r>
          </w:p>
        </w:tc>
        <w:tc>
          <w:tcPr>
            <w:tcMar>
              <w:top w:type="dxa" w:w="80"/>
              <w:left w:type="dxa" w:w="120"/>
              <w:bottom w:type="dxa" w:w="80"/>
              <w:right w:type="dxa" w:w="120"/>
            </w:tcMar>
          </w:tcPr>
          <w:p>
            <w:pPr>
              <w:spacing w:after="0" w:before="0"/>
            </w:pPr>
            <w:r>
              <w:rPr>
                <w:b w:val="false"/>
                <w:bCs w:val="false"/>
                <w:color w:val="0F172A"/>
                <w:sz w:val="19"/>
                <w:szCs w:val="19"/>
              </w:rPr>
              <w:t xml:space="preserve">2026-09-03</w:t>
            </w:r>
          </w:p>
        </w:tc>
        <w:tc>
          <w:tcPr>
            <w:tcMar>
              <w:top w:type="dxa" w:w="80"/>
              <w:left w:type="dxa" w:w="120"/>
              <w:bottom w:type="dxa" w:w="80"/>
              <w:right w:type="dxa" w:w="120"/>
            </w:tcMar>
          </w:tcPr>
          <w:p>
            <w:pPr>
              <w:spacing w:after="0" w:before="0"/>
            </w:pPr>
            <w:r>
              <w:rPr>
                <w:b w:val="false"/>
                <w:bCs w:val="false"/>
                <w:color w:val="0F172A"/>
                <w:sz w:val="19"/>
                <w:szCs w:val="19"/>
              </w:rPr>
              <w:t xml:space="preserve">64</w:t>
            </w:r>
          </w:p>
        </w:tc>
        <w:tc>
          <w:tcPr>
            <w:tcMar>
              <w:top w:type="dxa" w:w="80"/>
              <w:left w:type="dxa" w:w="120"/>
              <w:bottom w:type="dxa" w:w="80"/>
              <w:right w:type="dxa" w:w="120"/>
            </w:tcMar>
          </w:tcPr>
          <w:p>
            <w:pPr>
              <w:spacing w:after="0" w:before="0"/>
            </w:pPr>
            <w:r>
              <w:rPr>
                <w:b w:val="false"/>
                <w:bCs w:val="false"/>
                <w:color w:val="0F172A"/>
                <w:sz w:val="19"/>
                <w:szCs w:val="19"/>
              </w:rPr>
              <w:t xml:space="preserve">10,40 %</w:t>
            </w:r>
          </w:p>
        </w:tc>
        <w:tc>
          <w:tcPr>
            <w:tcMar>
              <w:top w:type="dxa" w:w="80"/>
              <w:left w:type="dxa" w:w="120"/>
              <w:bottom w:type="dxa" w:w="80"/>
              <w:right w:type="dxa" w:w="120"/>
            </w:tcMar>
          </w:tcPr>
          <w:p>
            <w:pPr>
              <w:spacing w:after="0" w:before="0"/>
            </w:pPr>
            <w:r>
              <w:rPr>
                <w:b w:val="false"/>
                <w:bCs w:val="false"/>
                <w:color w:val="0F172A"/>
                <w:sz w:val="19"/>
                <w:szCs w:val="19"/>
              </w:rPr>
              <w:t xml:space="preserve">22,44 €</w:t>
            </w:r>
          </w:p>
        </w:tc>
        <w:tc>
          <w:tcPr>
            <w:tcMar>
              <w:top w:type="dxa" w:w="80"/>
              <w:left w:type="dxa" w:w="120"/>
              <w:bottom w:type="dxa" w:w="80"/>
              <w:right w:type="dxa" w:w="120"/>
            </w:tcMar>
          </w:tcPr>
          <w:p>
            <w:pPr>
              <w:spacing w:after="0" w:before="0"/>
            </w:pPr>
            <w:r>
              <w:rPr>
                <w:b w:val="false"/>
                <w:bCs w:val="false"/>
                <w:color w:val="0F172A"/>
                <w:sz w:val="19"/>
                <w:szCs w:val="19"/>
              </w:rPr>
              <w:t xml:space="preserve">BOE-A-2026-14327</w:t>
            </w:r>
          </w:p>
        </w:tc>
      </w:tr>
    </w:tbl>
    <w:p>
      <w:pPr>
        <w:spacing w:after="160"/>
      </w:pPr>
    </w:p>
    <w:p>
      <w:pPr>
        <w:spacing w:after="140"/>
      </w:pPr>
      <w:r>
        <w:rPr>
          <w:b/>
          <w:bCs/>
        </w:rPr>
        <w:t xml:space="preserve">Total de intereses: 23,81 €</w:t>
      </w:r>
      <w:r>
        <w:rPr>
          <w:b w:val="false"/>
          <w:bCs w:val="false"/>
        </w:rPr>
        <w:t xml:space="preserve"> sobre 1.230,50 € en 68 días.</w:t>
      </w:r>
    </w:p>
    <w:p>
      <w:pPr>
        <w:pStyle w:val="Heading2"/>
        <w:spacing w:after="140" w:before="320"/>
      </w:pPr>
      <w:r>
        <w:rPr>
          <w:b w:val="false"/>
          <w:bCs w:val="false"/>
        </w:rPr>
        <w:t xml:space="preserve">F-2026-0221</w:t>
      </w:r>
    </w:p>
    <w:p>
      <w:pPr>
        <w:spacing w:after="140"/>
      </w:pPr>
      <w:r>
        <w:rPr>
          <w:b w:val="false"/>
          <w:bCs w:val="false"/>
        </w:rPr>
        <w:t xml:space="preserve">Entrega el 2026-05-30 · plazo de 30 días · vence el 2026-06-29 Importe 3.120,00 € · pendiente 2.120,00 €</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Desde</w:t>
            </w:r>
          </w:p>
        </w:tc>
        <w:tc>
          <w:tcPr>
            <w:shd w:fill="F1F5F9" w:val="clear"/>
            <w:tcMar>
              <w:top w:type="dxa" w:w="80"/>
              <w:left w:type="dxa" w:w="120"/>
              <w:bottom w:type="dxa" w:w="80"/>
              <w:right w:type="dxa" w:w="120"/>
            </w:tcMar>
          </w:tcPr>
          <w:p>
            <w:pPr>
              <w:spacing w:after="0" w:before="0"/>
            </w:pPr>
            <w:r>
              <w:rPr>
                <w:b/>
                <w:bCs/>
                <w:color w:val="0F172A"/>
                <w:sz w:val="19"/>
                <w:szCs w:val="19"/>
              </w:rPr>
              <w:t xml:space="preserve">Hasta</w:t>
            </w:r>
          </w:p>
        </w:tc>
        <w:tc>
          <w:tcPr>
            <w:shd w:fill="F1F5F9" w:val="clear"/>
            <w:tcMar>
              <w:top w:type="dxa" w:w="80"/>
              <w:left w:type="dxa" w:w="120"/>
              <w:bottom w:type="dxa" w:w="80"/>
              <w:right w:type="dxa" w:w="120"/>
            </w:tcMar>
          </w:tcPr>
          <w:p>
            <w:pPr>
              <w:spacing w:after="0" w:before="0"/>
            </w:pPr>
            <w:r>
              <w:rPr>
                <w:b/>
                <w:bCs/>
                <w:color w:val="0F172A"/>
                <w:sz w:val="19"/>
                <w:szCs w:val="19"/>
              </w:rPr>
              <w:t xml:space="preserve">Días</w:t>
            </w:r>
          </w:p>
        </w:tc>
        <w:tc>
          <w:tcPr>
            <w:shd w:fill="F1F5F9" w:val="clear"/>
            <w:tcMar>
              <w:top w:type="dxa" w:w="80"/>
              <w:left w:type="dxa" w:w="120"/>
              <w:bottom w:type="dxa" w:w="80"/>
              <w:right w:type="dxa" w:w="120"/>
            </w:tcMar>
          </w:tcPr>
          <w:p>
            <w:pPr>
              <w:spacing w:after="0" w:before="0"/>
            </w:pPr>
            <w:r>
              <w:rPr>
                <w:b/>
                <w:bCs/>
                <w:color w:val="0F172A"/>
                <w:sz w:val="19"/>
                <w:szCs w:val="19"/>
              </w:rPr>
              <w:t xml:space="preserve">Tipo</w:t>
            </w:r>
          </w:p>
        </w:tc>
        <w:tc>
          <w:tcPr>
            <w:shd w:fill="F1F5F9" w:val="clear"/>
            <w:tcMar>
              <w:top w:type="dxa" w:w="80"/>
              <w:left w:type="dxa" w:w="120"/>
              <w:bottom w:type="dxa" w:w="80"/>
              <w:right w:type="dxa" w:w="120"/>
            </w:tcMar>
          </w:tcPr>
          <w:p>
            <w:pPr>
              <w:spacing w:after="0" w:before="0"/>
            </w:pPr>
            <w:r>
              <w:rPr>
                <w:b/>
                <w:bCs/>
                <w:color w:val="0F172A"/>
                <w:sz w:val="19"/>
                <w:szCs w:val="19"/>
              </w:rPr>
              <w:t xml:space="preserve">Interés</w:t>
            </w:r>
          </w:p>
        </w:tc>
        <w:tc>
          <w:tcPr>
            <w:shd w:fill="F1F5F9" w:val="clear"/>
            <w:tcMar>
              <w:top w:type="dxa" w:w="80"/>
              <w:left w:type="dxa" w:w="120"/>
              <w:bottom w:type="dxa" w:w="80"/>
              <w:right w:type="dxa" w:w="120"/>
            </w:tcMar>
          </w:tcPr>
          <w:p>
            <w:pPr>
              <w:spacing w:after="0" w:before="0"/>
            </w:pPr>
            <w:r>
              <w:rPr>
                <w:b/>
                <w:bCs/>
                <w:color w:val="0F172A"/>
                <w:sz w:val="19"/>
                <w:szCs w:val="19"/>
              </w:rPr>
              <w:t xml:space="preserve">Publicado en</w:t>
            </w:r>
          </w:p>
        </w:tc>
      </w:tr>
      <w:tr>
        <w:tc>
          <w:tcPr>
            <w:tcMar>
              <w:top w:type="dxa" w:w="80"/>
              <w:left w:type="dxa" w:w="120"/>
              <w:bottom w:type="dxa" w:w="80"/>
              <w:right w:type="dxa" w:w="120"/>
            </w:tcMar>
          </w:tcPr>
          <w:p>
            <w:pPr>
              <w:spacing w:after="0" w:before="0"/>
            </w:pPr>
            <w:r>
              <w:rPr>
                <w:b w:val="false"/>
                <w:bCs w:val="false"/>
                <w:color w:val="0F172A"/>
                <w:sz w:val="19"/>
                <w:szCs w:val="19"/>
              </w:rPr>
              <w:t xml:space="preserve">2026-06-29</w:t>
            </w:r>
          </w:p>
        </w:tc>
        <w:tc>
          <w:tcPr>
            <w:tcMar>
              <w:top w:type="dxa" w:w="80"/>
              <w:left w:type="dxa" w:w="120"/>
              <w:bottom w:type="dxa" w:w="80"/>
              <w:right w:type="dxa" w:w="120"/>
            </w:tcMar>
          </w:tcPr>
          <w:p>
            <w:pPr>
              <w:spacing w:after="0" w:before="0"/>
            </w:pPr>
            <w:r>
              <w:rPr>
                <w:b w:val="false"/>
                <w:bCs w:val="false"/>
                <w:color w:val="0F172A"/>
                <w:sz w:val="19"/>
                <w:szCs w:val="19"/>
              </w:rPr>
              <w:t xml:space="preserve">2026-06-30</w:t>
            </w:r>
          </w:p>
        </w:tc>
        <w:tc>
          <w:tcPr>
            <w:tcMar>
              <w:top w:type="dxa" w:w="80"/>
              <w:left w:type="dxa" w:w="120"/>
              <w:bottom w:type="dxa" w:w="80"/>
              <w:right w:type="dxa" w:w="120"/>
            </w:tcMar>
          </w:tcPr>
          <w:p>
            <w:pPr>
              <w:spacing w:after="0" w:before="0"/>
            </w:pPr>
            <w:r>
              <w:rPr>
                <w:b w:val="false"/>
                <w:bCs w:val="false"/>
                <w:color w:val="0F172A"/>
                <w:sz w:val="19"/>
                <w:szCs w:val="19"/>
              </w:rPr>
              <w:t xml:space="preserve">2</w:t>
            </w:r>
          </w:p>
        </w:tc>
        <w:tc>
          <w:tcPr>
            <w:tcMar>
              <w:top w:type="dxa" w:w="80"/>
              <w:left w:type="dxa" w:w="120"/>
              <w:bottom w:type="dxa" w:w="80"/>
              <w:right w:type="dxa" w:w="120"/>
            </w:tcMar>
          </w:tcPr>
          <w:p>
            <w:pPr>
              <w:spacing w:after="0" w:before="0"/>
            </w:pPr>
            <w:r>
              <w:rPr>
                <w:b w:val="false"/>
                <w:bCs w:val="false"/>
                <w:color w:val="0F172A"/>
                <w:sz w:val="19"/>
                <w:szCs w:val="19"/>
              </w:rPr>
              <w:t xml:space="preserve">10,15 %</w:t>
            </w:r>
          </w:p>
        </w:tc>
        <w:tc>
          <w:tcPr>
            <w:tcMar>
              <w:top w:type="dxa" w:w="80"/>
              <w:left w:type="dxa" w:w="120"/>
              <w:bottom w:type="dxa" w:w="80"/>
              <w:right w:type="dxa" w:w="120"/>
            </w:tcMar>
          </w:tcPr>
          <w:p>
            <w:pPr>
              <w:spacing w:after="0" w:before="0"/>
            </w:pPr>
            <w:r>
              <w:rPr>
                <w:b w:val="false"/>
                <w:bCs w:val="false"/>
                <w:color w:val="0F172A"/>
                <w:sz w:val="19"/>
                <w:szCs w:val="19"/>
              </w:rPr>
              <w:t xml:space="preserve">1,18 €</w:t>
            </w:r>
          </w:p>
        </w:tc>
        <w:tc>
          <w:tcPr>
            <w:tcMar>
              <w:top w:type="dxa" w:w="80"/>
              <w:left w:type="dxa" w:w="120"/>
              <w:bottom w:type="dxa" w:w="80"/>
              <w:right w:type="dxa" w:w="120"/>
            </w:tcMar>
          </w:tcPr>
          <w:p>
            <w:pPr>
              <w:spacing w:after="0" w:before="0"/>
            </w:pPr>
            <w:r>
              <w:rPr>
                <w:b w:val="false"/>
                <w:bCs w:val="false"/>
                <w:color w:val="0F172A"/>
                <w:sz w:val="19"/>
                <w:szCs w:val="19"/>
              </w:rPr>
              <w:t xml:space="preserve">BOE-A-2025-27201</w:t>
            </w:r>
          </w:p>
        </w:tc>
      </w:tr>
      <w:tr>
        <w:tc>
          <w:tcPr>
            <w:tcMar>
              <w:top w:type="dxa" w:w="80"/>
              <w:left w:type="dxa" w:w="120"/>
              <w:bottom w:type="dxa" w:w="80"/>
              <w:right w:type="dxa" w:w="120"/>
            </w:tcMar>
          </w:tcPr>
          <w:p>
            <w:pPr>
              <w:spacing w:after="0" w:before="0"/>
            </w:pPr>
            <w:r>
              <w:rPr>
                <w:b w:val="false"/>
                <w:bCs w:val="false"/>
                <w:color w:val="0F172A"/>
                <w:sz w:val="19"/>
                <w:szCs w:val="19"/>
              </w:rPr>
              <w:t xml:space="preserve">2026-07-01</w:t>
            </w:r>
          </w:p>
        </w:tc>
        <w:tc>
          <w:tcPr>
            <w:tcMar>
              <w:top w:type="dxa" w:w="80"/>
              <w:left w:type="dxa" w:w="120"/>
              <w:bottom w:type="dxa" w:w="80"/>
              <w:right w:type="dxa" w:w="120"/>
            </w:tcMar>
          </w:tcPr>
          <w:p>
            <w:pPr>
              <w:spacing w:after="0" w:before="0"/>
            </w:pPr>
            <w:r>
              <w:rPr>
                <w:b w:val="false"/>
                <w:bCs w:val="false"/>
                <w:color w:val="0F172A"/>
                <w:sz w:val="19"/>
                <w:szCs w:val="19"/>
              </w:rPr>
              <w:t xml:space="preserve">2026-09-03</w:t>
            </w:r>
          </w:p>
        </w:tc>
        <w:tc>
          <w:tcPr>
            <w:tcMar>
              <w:top w:type="dxa" w:w="80"/>
              <w:left w:type="dxa" w:w="120"/>
              <w:bottom w:type="dxa" w:w="80"/>
              <w:right w:type="dxa" w:w="120"/>
            </w:tcMar>
          </w:tcPr>
          <w:p>
            <w:pPr>
              <w:spacing w:after="0" w:before="0"/>
            </w:pPr>
            <w:r>
              <w:rPr>
                <w:b w:val="false"/>
                <w:bCs w:val="false"/>
                <w:color w:val="0F172A"/>
                <w:sz w:val="19"/>
                <w:szCs w:val="19"/>
              </w:rPr>
              <w:t xml:space="preserve">64</w:t>
            </w:r>
          </w:p>
        </w:tc>
        <w:tc>
          <w:tcPr>
            <w:tcMar>
              <w:top w:type="dxa" w:w="80"/>
              <w:left w:type="dxa" w:w="120"/>
              <w:bottom w:type="dxa" w:w="80"/>
              <w:right w:type="dxa" w:w="120"/>
            </w:tcMar>
          </w:tcPr>
          <w:p>
            <w:pPr>
              <w:spacing w:after="0" w:before="0"/>
            </w:pPr>
            <w:r>
              <w:rPr>
                <w:b w:val="false"/>
                <w:bCs w:val="false"/>
                <w:color w:val="0F172A"/>
                <w:sz w:val="19"/>
                <w:szCs w:val="19"/>
              </w:rPr>
              <w:t xml:space="preserve">10,40 %</w:t>
            </w:r>
          </w:p>
        </w:tc>
        <w:tc>
          <w:tcPr>
            <w:tcMar>
              <w:top w:type="dxa" w:w="80"/>
              <w:left w:type="dxa" w:w="120"/>
              <w:bottom w:type="dxa" w:w="80"/>
              <w:right w:type="dxa" w:w="120"/>
            </w:tcMar>
          </w:tcPr>
          <w:p>
            <w:pPr>
              <w:spacing w:after="0" w:before="0"/>
            </w:pPr>
            <w:r>
              <w:rPr>
                <w:b w:val="false"/>
                <w:bCs w:val="false"/>
                <w:color w:val="0F172A"/>
                <w:sz w:val="19"/>
                <w:szCs w:val="19"/>
              </w:rPr>
              <w:t xml:space="preserve">38,66 €</w:t>
            </w:r>
          </w:p>
        </w:tc>
        <w:tc>
          <w:tcPr>
            <w:tcMar>
              <w:top w:type="dxa" w:w="80"/>
              <w:left w:type="dxa" w:w="120"/>
              <w:bottom w:type="dxa" w:w="80"/>
              <w:right w:type="dxa" w:w="120"/>
            </w:tcMar>
          </w:tcPr>
          <w:p>
            <w:pPr>
              <w:spacing w:after="0" w:before="0"/>
            </w:pPr>
            <w:r>
              <w:rPr>
                <w:b w:val="false"/>
                <w:bCs w:val="false"/>
                <w:color w:val="0F172A"/>
                <w:sz w:val="19"/>
                <w:szCs w:val="19"/>
              </w:rPr>
              <w:t xml:space="preserve">BOE-A-2026-14327</w:t>
            </w:r>
          </w:p>
        </w:tc>
      </w:tr>
    </w:tbl>
    <w:p>
      <w:pPr>
        <w:spacing w:after="160"/>
      </w:pPr>
    </w:p>
    <w:p>
      <w:pPr>
        <w:spacing w:after="140"/>
      </w:pPr>
      <w:r>
        <w:rPr>
          <w:b/>
          <w:bCs/>
        </w:rPr>
        <w:t xml:space="preserve">Total de intereses: 39,84 €</w:t>
      </w:r>
      <w:r>
        <w:rPr>
          <w:b w:val="false"/>
          <w:bCs w:val="false"/>
        </w:rPr>
        <w:t xml:space="preserve"> sobre 2.120,00 € en 66 días.</w:t>
      </w:r>
    </w:p>
    <w:p>
      <w:pPr>
        <w:pStyle w:val="Heading2"/>
        <w:spacing w:after="140" w:before="320"/>
      </w:pPr>
      <w:r>
        <w:rPr>
          <w:b w:val="false"/>
          <w:bCs w:val="false"/>
        </w:rPr>
        <w:t xml:space="preserve">F-2026-0304</w:t>
      </w:r>
    </w:p>
    <w:p>
      <w:pPr>
        <w:spacing w:after="140"/>
      </w:pPr>
      <w:r>
        <w:rPr>
          <w:b w:val="false"/>
          <w:bCs w:val="false"/>
        </w:rPr>
        <w:t xml:space="preserve">Entrega el 2026-08-20 · plazo de 30 días · vence el 2026-09-19 Importe 890,00 €</w:t>
      </w:r>
    </w:p>
    <w:p>
      <w:pPr>
        <w:spacing w:after="140"/>
      </w:pPr>
      <w:r>
        <w:rPr>
          <w:b w:val="false"/>
          <w:bCs w:val="false"/>
        </w:rPr>
        <w:t xml:space="preserve">Sin retraso: no devenga interés.</w:t>
      </w:r>
    </w:p>
    <w:p>
      <w:pPr>
        <w:pStyle w:val="Heading2"/>
        <w:spacing w:after="140" w:before="320"/>
      </w:pPr>
      <w:r>
        <w:rPr>
          <w:b w:val="false"/>
          <w:bCs w:val="false"/>
        </w:rPr>
        <w:t xml:space="preserve">Advertencias</w:t>
      </w:r>
    </w:p>
    <w:p>
      <w:pPr>
        <w:spacing w:after="60"/>
        <w:ind w:left="340" w:hanging="240"/>
      </w:pPr>
      <w:r>
        <w:rPr>
          <w:b/>
          <w:bCs/>
          <w:color w:val="1D4ED8"/>
        </w:rPr>
        <w:t xml:space="preserve">•	</w:t>
      </w:r>
      <w:r>
        <w:rPr>
          <w:b w:val="false"/>
          <w:bCs w:val="false"/>
        </w:rPr>
        <w:t xml:space="preserve">En una factura el plazo pactado pasa de sesenta días. El artículo 4.3 no lo permite y el artículo 9.1 hace nula esa cláusula, así que hemos aplicado el tope de sesenta, no lo pactado.</w:t>
      </w:r>
    </w:p>
    <w:p>
      <w:pPr>
        <w:spacing w:after="60"/>
        <w:ind w:left="340" w:hanging="240"/>
      </w:pPr>
      <w:r>
        <w:rPr>
          <w:b/>
          <w:bCs/>
          <w:color w:val="1D4ED8"/>
        </w:rPr>
        <w:t xml:space="preserve">•	</w:t>
      </w:r>
      <w:r>
        <w:rPr>
          <w:b w:val="false"/>
          <w:bCs w:val="false"/>
        </w:rPr>
        <w:t xml:space="preserve">Una factura no está vencida todavía o ya está cobrada. Sale en el detalle, pero no entra en la reclamación.</w:t>
      </w:r>
    </w:p>
    <w:p>
      <w:pPr>
        <w:spacing w:after="60"/>
        <w:ind w:left="340" w:hanging="240"/>
      </w:pPr>
      <w:r>
        <w:rPr>
          <w:b/>
          <w:bCs/>
          <w:color w:val="1D4ED8"/>
        </w:rPr>
        <w:t xml:space="preserve">•	</w:t>
      </w:r>
      <w:r>
        <w:rPr>
          <w:b w:val="false"/>
          <w:bCs w:val="false"/>
        </w:rPr>
        <w:t xml:space="preserve">El obligado al pago incurrirá en mora y deberá pagar el interés pactado en el contrato o el fijado por esta Ley automáticamente por el mero incumplimiento del pago en el plazo pactado o legalmente establecido, sin necesidad de aviso de vencimiento ni intimación alguna por parte del acreedor.</w:t>
      </w:r>
    </w:p>
    <w:p>
      <w:pPr>
        <w:spacing w:after="60"/>
        <w:ind w:left="340" w:hanging="240"/>
      </w:pPr>
      <w:r>
        <w:rPr>
          <w:b/>
          <w:bCs/>
          <w:color w:val="1D4ED8"/>
        </w:rPr>
        <w:t xml:space="preserve">•	</w:t>
      </w:r>
      <w:r>
        <w:rPr>
          <w:b w:val="false"/>
          <w:bCs w:val="false"/>
        </w:rPr>
        <w:t xml:space="preserve">El acreedor tendrá derecho a intereses de demora cuando concurran simultáneamente los siguientes requisitos: a) que haya cumplido sus obligaciones contractuales y legales; b) que no haya recibido a tiempo la cantidad debida, a menos que el deudor pueda probar que no es responsable del retraso.</w:t>
      </w:r>
    </w:p>
    <w:p>
      <w:pPr>
        <w:spacing w:after="60"/>
        <w:ind w:left="340" w:hanging="240"/>
      </w:pPr>
      <w:r>
        <w:rPr>
          <w:b/>
          <w:bCs/>
          <w:color w:val="1D4ED8"/>
        </w:rPr>
        <w:t xml:space="preserve">•	</w:t>
      </w:r>
      <w:r>
        <w:rPr>
          <w:b w:val="false"/>
          <w:bCs w:val="false"/>
        </w:rPr>
        <w:t xml:space="preserve">Los 40 € del artículo 8.1 son por factura y se añaden sin pedirlos. Si tus costes de cobro reales superan esa cifra y los puedes acreditar, puedes reclamar la diferencia.</w:t>
      </w:r>
    </w:p>
    <w:p>
      <w:r>
        <w:br w:type="page"/>
      </w:r>
    </w:p>
    <w:p>
      <w:pPr>
        <w:spacing w:after="200"/>
      </w:pPr>
      <w:r>
        <w:rPr>
          <w:b/>
          <w:bCs/>
          <w:color w:val="1D4ED8"/>
          <w:sz w:val="18"/>
          <w:szCs w:val="18"/>
        </w:rPr>
        <w:t xml:space="preserve">ADVERTENCIAS</w:t>
      </w:r>
    </w:p>
    <w:p>
      <w:pPr>
        <w:pStyle w:val="Heading1"/>
        <w:spacing w:after="140" w:before="0"/>
      </w:pPr>
      <w:r>
        <w:rPr>
          <w:b w:val="false"/>
          <w:bCs w:val="false"/>
        </w:rPr>
        <w:t xml:space="preserve">Advertencias</w:t>
      </w:r>
    </w:p>
    <w:p>
      <w:pPr>
        <w:spacing w:after="60"/>
        <w:ind w:left="340" w:hanging="240"/>
      </w:pPr>
      <w:r>
        <w:rPr>
          <w:b/>
          <w:bCs/>
          <w:color w:val="1D4ED8"/>
        </w:rPr>
        <w:t xml:space="preserve">•	</w:t>
      </w:r>
      <w:r>
        <w:rPr>
          <w:b w:val="false"/>
          <w:bCs w:val="false"/>
        </w:rPr>
        <w:t xml:space="preserve">En una factura el plazo pactado pasa de sesenta días. El artículo 4.3 no lo permite y el artículo 9.1 hace nula esa cláusula, así que hemos aplicado el tope de sesenta, no lo pactado.</w:t>
      </w:r>
    </w:p>
    <w:p>
      <w:pPr>
        <w:spacing w:after="60"/>
        <w:ind w:left="340" w:hanging="240"/>
      </w:pPr>
      <w:r>
        <w:rPr>
          <w:b/>
          <w:bCs/>
          <w:color w:val="1D4ED8"/>
        </w:rPr>
        <w:t xml:space="preserve">•	</w:t>
      </w:r>
      <w:r>
        <w:rPr>
          <w:b w:val="false"/>
          <w:bCs w:val="false"/>
        </w:rPr>
        <w:t xml:space="preserve">Una factura no está vencida todavía o ya está cobrada. Sale en el detalle, pero no entra en la reclamación.</w:t>
      </w:r>
    </w:p>
    <w:p>
      <w:pPr>
        <w:spacing w:after="60"/>
        <w:ind w:left="340" w:hanging="240"/>
      </w:pPr>
      <w:r>
        <w:rPr>
          <w:b/>
          <w:bCs/>
          <w:color w:val="1D4ED8"/>
        </w:rPr>
        <w:t xml:space="preserve">•	</w:t>
      </w:r>
      <w:r>
        <w:rPr>
          <w:b w:val="false"/>
          <w:bCs w:val="false"/>
        </w:rPr>
        <w:t xml:space="preserve">El obligado al pago incurrirá en mora y deberá pagar el interés pactado en el contrato o el fijado por esta Ley automáticamente por el mero incumplimiento del pago en el plazo pactado o legalmente establecido, sin necesidad de aviso de vencimiento ni intimación alguna por parte del acreedor.</w:t>
      </w:r>
    </w:p>
    <w:p>
      <w:pPr>
        <w:spacing w:after="60"/>
        <w:ind w:left="340" w:hanging="240"/>
      </w:pPr>
      <w:r>
        <w:rPr>
          <w:b/>
          <w:bCs/>
          <w:color w:val="1D4ED8"/>
        </w:rPr>
        <w:t xml:space="preserve">•	</w:t>
      </w:r>
      <w:r>
        <w:rPr>
          <w:b w:val="false"/>
          <w:bCs w:val="false"/>
        </w:rPr>
        <w:t xml:space="preserve">El acreedor tendrá derecho a intereses de demora cuando concurran simultáneamente los siguientes requisitos: a) que haya cumplido sus obligaciones contractuales y legales; b) que no haya recibido a tiempo la cantidad debida, a menos que el deudor pueda probar que no es responsable del retraso.</w:t>
      </w:r>
    </w:p>
    <w:p>
      <w:pPr>
        <w:spacing w:after="60"/>
        <w:ind w:left="340" w:hanging="240"/>
      </w:pPr>
      <w:r>
        <w:rPr>
          <w:b/>
          <w:bCs/>
          <w:color w:val="1D4ED8"/>
        </w:rPr>
        <w:t xml:space="preserve">•	</w:t>
      </w:r>
      <w:r>
        <w:rPr>
          <w:b w:val="false"/>
          <w:bCs w:val="false"/>
        </w:rPr>
        <w:t xml:space="preserve">Los 40 € del artículo 8.1 son por factura y se añaden sin pedirlos. Si tus costes de cobro reales superan esa cifra y los puedes acreditar, puedes reclamar la diferencia.</w:t>
      </w:r>
    </w:p>
    <w:p>
      <w:r>
        <w:br w:type="page"/>
      </w:r>
    </w:p>
    <w:p>
      <w:pPr>
        <w:spacing w:after="200"/>
      </w:pPr>
      <w:r>
        <w:rPr>
          <w:b/>
          <w:bCs/>
          <w:color w:val="1D4ED8"/>
          <w:sz w:val="18"/>
          <w:szCs w:val="18"/>
        </w:rPr>
        <w:t xml:space="preserve">DE DÓNDE SALE CADA COSA</w:t>
      </w:r>
    </w:p>
    <w:p>
      <w:pPr>
        <w:pStyle w:val="Heading1"/>
        <w:spacing w:after="140" w:before="0"/>
      </w:pPr>
      <w:r>
        <w:rPr>
          <w:b w:val="false"/>
          <w:bCs w:val="false"/>
        </w:rPr>
        <w:t xml:space="preserve">De dónde sale cada cosa</w:t>
      </w:r>
    </w:p>
    <w:p>
      <w:pPr>
        <w:spacing w:after="140"/>
      </w:pPr>
      <w:r>
        <w:rPr>
          <w:b w:val="false"/>
          <w:bCs w:val="false"/>
        </w:rPr>
        <w:t xml:space="preserve">Cada afirmación con su norma, su artículo y el enlace a la fuente oficial. La firma y la responsabilidad son de quien presenta el documento.</w:t>
      </w:r>
    </w:p>
    <w:p>
      <w:pPr>
        <w:spacing w:after="140"/>
      </w:pPr>
      <w:r>
        <w:rPr>
          <w:b/>
          <w:bCs/>
        </w:rPr>
        <w:t xml:space="preserve">Ley 3/2004, de 29 de diciembre, por la que se establecen medidas de lucha contra la morosidad en las operaciones comerciales, art. 4.1</w:t>
      </w:r>
    </w:p>
    <w:p>
      <w:pPr>
        <w:spacing w:after="140"/>
      </w:pPr>
      <w:r>
        <w:rPr>
          <w:b w:val="false"/>
          <w:bCs w:val="false"/>
        </w:rPr>
        <w:t xml:space="preserve">El plazo de pago que debe cumplir el deudor, si no hubiera fijado fecha o plazo de pago en el contrato, será de treinta días naturales después de la fecha de recepción de las mercancías o prestación de los servicios, incluso cuando hubiera recibido la factura o solicitud de pago equivalente con anterioridad.</w:t>
      </w:r>
    </w:p>
    <w:p>
      <w:pPr>
        <w:spacing w:after="140"/>
      </w:pPr>
      <w:r>
        <w:rPr>
          <w:b w:val="false"/>
          <w:bCs w:val="false"/>
        </w:rPr>
        <w:t xml:space="preserve">https://www.boe.es/buscar/act.php?id=BOE-A-2004-21830</w:t>
      </w:r>
    </w:p>
    <w:p>
      <w:pPr>
        <w:spacing w:after="140"/>
      </w:pPr>
      <w:r>
        <w:rPr>
          <w:b/>
          <w:bCs/>
        </w:rPr>
        <w:t xml:space="preserve">Ley 3/2004, de 29 de diciembre, por la que se establecen medidas de lucha contra la morosidad en las operaciones comerciales, art. 5</w:t>
      </w:r>
    </w:p>
    <w:p>
      <w:pPr>
        <w:spacing w:after="140"/>
      </w:pPr>
      <w:r>
        <w:rPr>
          <w:b w:val="false"/>
          <w:bCs w:val="false"/>
        </w:rPr>
        <w:t xml:space="preserve">El obligado al pago incurrirá en mora y deberá pagar el interés pactado en el contrato o el fijado por esta Ley automáticamente por el mero incumplimiento del pago en el plazo pactado o legalmente establecido, sin necesidad de aviso de vencimiento ni intimación alguna por parte del acreedor.</w:t>
      </w:r>
    </w:p>
    <w:p>
      <w:pPr>
        <w:spacing w:after="140"/>
      </w:pPr>
      <w:r>
        <w:rPr>
          <w:b w:val="false"/>
          <w:bCs w:val="false"/>
        </w:rPr>
        <w:t xml:space="preserve">https://www.boe.es/buscar/act.php?id=BOE-A-2004-21830</w:t>
      </w:r>
    </w:p>
    <w:p>
      <w:pPr>
        <w:spacing w:after="140"/>
      </w:pPr>
      <w:r>
        <w:rPr>
          <w:b/>
          <w:bCs/>
        </w:rPr>
        <w:t xml:space="preserve">Ley 3/2004, de 29 de diciembre, por la que se establecen medidas de lucha contra la morosidad en las operaciones comerciales, art. 7.2</w:t>
      </w:r>
    </w:p>
    <w:p>
      <w:pPr>
        <w:spacing w:after="140"/>
      </w:pPr>
      <w:r>
        <w:rPr>
          <w:b w:val="false"/>
          <w:bCs w:val="false"/>
        </w:rPr>
        <w:t xml:space="preserve">El tipo legal de interés de demora que el deudor estará obligado a pagar será la suma del tipo de interés aplicado por el Banco Central Europeo a su más reciente operación principal de financiación efectuada antes del primer día del semestre natural de que se trate más ocho puntos porcentuales. El tipo legal de interés de demora se aplicará durante los seis meses siguientes a su fijación.</w:t>
      </w:r>
    </w:p>
    <w:p>
      <w:pPr>
        <w:spacing w:after="140"/>
      </w:pPr>
      <w:r>
        <w:rPr>
          <w:b w:val="false"/>
          <w:bCs w:val="false"/>
        </w:rPr>
        <w:t xml:space="preserve">https://www.boe.es/buscar/act.php?id=BOE-A-2004-21830</w:t>
      </w:r>
    </w:p>
    <w:p>
      <w:pPr>
        <w:spacing w:after="140"/>
      </w:pPr>
      <w:r>
        <w:rPr>
          <w:b/>
          <w:bCs/>
        </w:rPr>
        <w:t xml:space="preserve">Ley 3/2004, de 29 de diciembre, por la que se establecen medidas de lucha contra la morosidad en las operaciones comerciales, art. 8.1</w:t>
      </w:r>
    </w:p>
    <w:p>
      <w:pPr>
        <w:spacing w:after="140"/>
      </w:pPr>
      <w:r>
        <w:rPr>
          <w:b w:val="false"/>
          <w:bCs w:val="false"/>
        </w:rPr>
        <w:t xml:space="preserve">Cuando el deudor incurra en mora, el acreedor tendrá derecho a cobrar del deudor una cantidad fija de 40 euros, que se añadirá en todo caso y sin necesidad de petición expresa a la deuda principal. Además, el acreedor tendrá derecho a reclamar una indemnización por todos los costes de cobro debidamente acreditados que haya sufrido a causa de la mora y que superen esa cantidad.</w:t>
      </w:r>
    </w:p>
    <w:p>
      <w:pPr>
        <w:spacing w:after="140"/>
      </w:pPr>
      <w:r>
        <w:rPr>
          <w:b w:val="false"/>
          <w:bCs w:val="false"/>
        </w:rPr>
        <w:t xml:space="preserve">https://www.boe.es/buscar/act.php?id=BOE-A-2004-21830</w:t>
      </w:r>
    </w:p>
    <w:p>
      <w:pPr>
        <w:spacing w:after="140"/>
      </w:pPr>
      <w:r>
        <w:rPr>
          <w:b/>
          <w:bCs/>
        </w:rPr>
        <w:t xml:space="preserve">Ley 3/2004, de 29 de diciembre, por la que se establecen medidas de lucha contra la morosidad en las operaciones comerciales, art. 4.3</w:t>
      </w:r>
    </w:p>
    <w:p>
      <w:pPr>
        <w:spacing w:after="140"/>
      </w:pPr>
      <w:r>
        <w:rPr>
          <w:b w:val="false"/>
          <w:bCs w:val="false"/>
        </w:rPr>
        <w:t xml:space="preserve">Los plazos de pago indicados en los apartados anteriores podrán ser ampliados mediante pacto de las partes sin que, en ningún caso, se pueda acordar un plazo superior a 60 días naturales.</w:t>
      </w:r>
    </w:p>
    <w:p>
      <w:pPr>
        <w:spacing w:after="140"/>
      </w:pPr>
      <w:r>
        <w:rPr>
          <w:b w:val="false"/>
          <w:bCs w:val="false"/>
        </w:rPr>
        <w:t xml:space="preserve">https://www.boe.es/buscar/act.php?id=BOE-A-2004-21830</w:t>
      </w:r>
    </w:p>
    <w:p>
      <w:pPr>
        <w:spacing w:after="140"/>
      </w:pPr>
      <w:r>
        <w:rPr>
          <w:b/>
          <w:bCs/>
        </w:rPr>
        <w:t xml:space="preserve">Ley 3/2004, de 29 de diciembre, por la que se establecen medidas de lucha contra la morosidad en las operaciones comerciales, art. 9.1</w:t>
      </w:r>
    </w:p>
    <w:p>
      <w:pPr>
        <w:spacing w:after="140"/>
      </w:pPr>
      <w:r>
        <w:rPr>
          <w:b w:val="false"/>
          <w:bCs w:val="false"/>
        </w:rPr>
        <w:t xml:space="preserve">Son nulas las cláusulas pactadas entre las partes o las prácticas que resulten contrarias a los requisitos para exigir los intereses de demora del artículo 6, o aquellas que excluyan el cobro de dicho interés de demora o el de la indemnización por costes de cobro prevista en el artículo 8.</w:t>
      </w:r>
    </w:p>
    <w:p>
      <w:pPr>
        <w:spacing w:after="140"/>
      </w:pPr>
      <w:r>
        <w:rPr>
          <w:b w:val="false"/>
          <w:bCs w:val="false"/>
        </w:rPr>
        <w:t xml:space="preserve">https://www.boe.es/buscar/act.php?id=BOE-A-2004-21830</w:t>
      </w:r>
    </w:p>
    <w:p>
      <w:pPr>
        <w:spacing w:after="140"/>
      </w:pPr>
      <w:r>
        <w:rPr>
          <w:b/>
          <w:bCs/>
        </w:rPr>
        <w:t xml:space="preserve">Resolución de la Secretaría General del Tesoro, BOE-A-2025-27201</w:t>
      </w:r>
    </w:p>
    <w:p>
      <w:pPr>
        <w:spacing w:after="140"/>
      </w:pPr>
      <w:r>
        <w:rPr>
          <w:b w:val="false"/>
          <w:bCs w:val="false"/>
        </w:rPr>
        <w:t xml:space="preserve">Tipo legal de interés de demora del 2026, primer semestre: 10,15 % (BCE 2,15 % más ocho puntos).</w:t>
      </w:r>
    </w:p>
    <w:p>
      <w:pPr>
        <w:spacing w:after="140"/>
      </w:pPr>
      <w:r>
        <w:rPr>
          <w:b w:val="false"/>
          <w:bCs w:val="false"/>
        </w:rPr>
        <w:t xml:space="preserve">https://www.boe.es/diario_boe/txt.php?id=BOE-A-2025-27201</w:t>
      </w:r>
    </w:p>
    <w:p>
      <w:pPr>
        <w:spacing w:after="140"/>
      </w:pPr>
      <w:r>
        <w:rPr>
          <w:b/>
          <w:bCs/>
        </w:rPr>
        <w:t xml:space="preserve">Resolución de la Secretaría General del Tesoro, BOE-A-2026-14327</w:t>
      </w:r>
    </w:p>
    <w:p>
      <w:pPr>
        <w:spacing w:after="140"/>
      </w:pPr>
      <w:r>
        <w:rPr>
          <w:b w:val="false"/>
          <w:bCs w:val="false"/>
        </w:rPr>
        <w:t xml:space="preserve">Tipo legal de interés de demora del 2026, segundo semestre: 10,40 % (BCE 2,40 % más ocho puntos).</w:t>
      </w:r>
    </w:p>
    <w:p>
      <w:pPr>
        <w:spacing w:after="140"/>
      </w:pPr>
      <w:r>
        <w:rPr>
          <w:b w:val="false"/>
          <w:bCs w:val="false"/>
        </w:rPr>
        <w:t xml:space="preserve">https://www.boe.es/diario_boe/txt.php?id=BOE-A-2026-14327</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475569"/>
        <w:sz w:val="16"/>
        <w:szCs w:val="16"/>
      </w:rPr>
      <w:t xml:space="preserve">tramitaia.es    </w:t>
    </w:r>
    <w:r>
      <w:rPr>
        <w:color w:val="475569"/>
        <w:sz w:val="16"/>
        <w:szCs w:val="16"/>
      </w:rPr>
      <w:fldChar w:fldCharType="begin"/>
      <w:instrText xml:space="preserve">PAGE</w:instrText>
      <w:fldChar w:fldCharType="separate"/>
      <w:fldChar w:fldCharType="end"/>
    </w:r>
    <w:r>
      <w:rPr>
        <w:color w:val="475569"/>
        <w:sz w:val="16"/>
        <w:szCs w:val="16"/>
      </w:rPr>
      <w:t xml:space="preserve"> de </w:t>
    </w:r>
    <w:r>
      <w:rPr>
        <w:color w:val="47556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F172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F172A"/>
      <w:sz w:val="30"/>
      <w:szCs w:val="30"/>
    </w:rPr>
  </w:style>
  <w:style w:type="paragraph" w:styleId="Heading2">
    <w:name w:val="Heading 2"/>
    <w:basedOn w:val="Normal"/>
    <w:next w:val="Normal"/>
    <w:qFormat/>
    <w:rPr>
      <w:rFonts w:ascii="Calibri" w:cs="Calibri" w:eastAsia="Calibri" w:hAnsi="Calibri"/>
      <w:b/>
      <w:bCs/>
      <w:color w:val="0F172A"/>
      <w:sz w:val="25"/>
      <w:szCs w:val="25"/>
    </w:rPr>
  </w:style>
  <w:style w:type="paragraph" w:styleId="Heading3">
    <w:name w:val="Heading 3"/>
    <w:basedOn w:val="Normal"/>
    <w:next w:val="Normal"/>
    <w:qFormat/>
    <w:rPr>
      <w:rFonts w:ascii="Calibri" w:cs="Calibri" w:eastAsia="Calibri" w:hAnsi="Calibri"/>
      <w:b/>
      <w:bCs/>
      <w:color w:val="475569"/>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Cuatro facturas impagadas de una constructora</dc:title>
  <dc:creator>tramitaIA</dc:creator>
  <cp:lastModifiedBy>Un-named</cp:lastModifiedBy>
  <cp:revision>1</cp:revision>
  <dcterms:created xsi:type="dcterms:W3CDTF">2026-09-07T16:57:25.409Z</dcterms:created>
  <dcterms:modified xsi:type="dcterms:W3CDTF">2026-09-07T16:57:25.409Z</dcterms:modified>
</cp:coreProperties>
</file>

<file path=docProps/custom.xml><?xml version="1.0" encoding="utf-8"?>
<Properties xmlns="http://schemas.openxmlformats.org/officeDocument/2006/custom-properties" xmlns:vt="http://schemas.openxmlformats.org/officeDocument/2006/docPropsVTypes"/>
</file>