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REVISIÓN DE UNA INSTALACIÓN DE CÁMARAS</w:t>
      </w:r>
    </w:p>
    <w:p>
      <w:pPr>
        <w:pStyle w:val="Title"/>
        <w:spacing w:after="120"/>
      </w:pPr>
      <w:r>
        <w:rPr>
          <w:b/>
          <w:bCs/>
          <w:color w:val="0F172A"/>
          <w:sz w:val="40"/>
          <w:szCs w:val="40"/>
        </w:rPr>
        <w:t xml:space="preserve">Supermercado de barrio con once cámaras puestas hace cuatro años</w:t>
      </w:r>
    </w:p>
    <w:p>
      <w:pPr>
        <w:pBdr>
          <w:bottom w:val="single" w:color="CBD5E1" w:sz="6" w:space="10"/>
        </w:pBdr>
        <w:spacing w:after="320"/>
      </w:pPr>
      <w:r>
        <w:rPr>
          <w:b w:val="false"/>
          <w:bCs w:val="false"/>
          <w:i/>
          <w:iCs/>
          <w:color w:val="475569"/>
          <w:sz w:val="19"/>
          <w:szCs w:val="19"/>
        </w:rPr>
        <w:t xml:space="preserve">Ejemplo real generado con el mismo motor que sirve a los clientes. El comercio es inventado. El orden de arreglo sale de lo que cuesta cada cosa: primero lo que son dos clics. Generado el 7 de septiembre de 2026.</w:t>
      </w:r>
    </w:p>
    <w:p>
      <w:pPr>
        <w:spacing w:after="200"/>
      </w:pPr>
      <w:r>
        <w:rPr>
          <w:b/>
          <w:bCs/>
          <w:color w:val="1D4ED8"/>
          <w:sz w:val="18"/>
          <w:szCs w:val="18"/>
        </w:rPr>
        <w:t xml:space="preserve">REVISIÓN DE LA INSTALACIÓN — SUPERMERCADOS LA VEGA S.L.</w:t>
      </w:r>
    </w:p>
    <w:p>
      <w:pPr>
        <w:pStyle w:val="Heading1"/>
        <w:spacing w:after="140" w:before="0"/>
      </w:pPr>
      <w:r>
        <w:rPr>
          <w:b w:val="false"/>
          <w:bCs w:val="false"/>
        </w:rPr>
        <w:t xml:space="preserve">Revisión de una instalación de cámaras</w:t>
      </w:r>
    </w:p>
    <w:p>
      <w:pPr>
        <w:spacing w:after="140"/>
      </w:pPr>
      <w:r>
        <w:rPr>
          <w:b w:val="false"/>
          <w:bCs w:val="false"/>
        </w:rPr>
        <w:t xml:space="preserve">Supermercados La Vega S.L. · Calle Mayor 31, Molina de Segura (Murcia) </w:t>
      </w:r>
      <w:r>
        <w:rPr>
          <w:b/>
          <w:bCs/>
        </w:rPr>
        <w:t xml:space="preserve">11 cámaras</w:t>
      </w:r>
      <w:r>
        <w:rPr>
          <w:b w:val="false"/>
          <w:bCs w:val="false"/>
        </w:rPr>
        <w:t xml:space="preserve"> · retención de 60 días · con trabajadores en el local</w:t>
      </w:r>
    </w:p>
    <w:p>
      <w:pPr>
        <w:pStyle w:val="Heading2"/>
        <w:spacing w:after="140" w:before="320"/>
      </w:pPr>
      <w:r>
        <w:rPr>
          <w:b w:val="false"/>
          <w:bCs w:val="false"/>
        </w:rPr>
        <w:t xml:space="preserve">Lo que hay que arreglar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Cámara</w:t>
            </w:r>
          </w:p>
        </w:tc>
        <w:tc>
          <w:tcPr>
            <w:shd w:fill="F1F5F9" w:val="clear"/>
            <w:tcMar>
              <w:top w:type="dxa" w:w="80"/>
              <w:left w:type="dxa" w:w="120"/>
              <w:bottom w:type="dxa" w:w="80"/>
              <w:right w:type="dxa" w:w="120"/>
            </w:tcMar>
          </w:tcPr>
          <w:p>
            <w:pPr>
              <w:spacing w:after="0" w:before="0"/>
            </w:pPr>
            <w:r>
              <w:rPr>
                <w:b/>
                <w:bCs/>
                <w:color w:val="0F172A"/>
                <w:sz w:val="19"/>
                <w:szCs w:val="19"/>
              </w:rPr>
              <w:t xml:space="preserve">Dónde</w:t>
            </w:r>
          </w:p>
        </w:tc>
        <w:tc>
          <w:tcPr>
            <w:shd w:fill="F1F5F9" w:val="clear"/>
            <w:tcMar>
              <w:top w:type="dxa" w:w="80"/>
              <w:left w:type="dxa" w:w="120"/>
              <w:bottom w:type="dxa" w:w="80"/>
              <w:right w:type="dxa" w:w="120"/>
            </w:tcMar>
          </w:tcPr>
          <w:p>
            <w:pPr>
              <w:spacing w:after="0" w:before="0"/>
            </w:pPr>
            <w:r>
              <w:rPr>
                <w:b/>
                <w:bCs/>
                <w:color w:val="0F172A"/>
                <w:sz w:val="19"/>
                <w:szCs w:val="19"/>
              </w:rPr>
              <w:t xml:space="preserve">Problema</w:t>
            </w:r>
          </w:p>
        </w:tc>
        <w:tc>
          <w:tcPr>
            <w:shd w:fill="F1F5F9" w:val="clear"/>
            <w:tcMar>
              <w:top w:type="dxa" w:w="80"/>
              <w:left w:type="dxa" w:w="120"/>
              <w:bottom w:type="dxa" w:w="80"/>
              <w:right w:type="dxa" w:w="120"/>
            </w:tcMar>
          </w:tcPr>
          <w:p>
            <w:pPr>
              <w:spacing w:after="0" w:before="0"/>
            </w:pPr>
            <w:r>
              <w:rPr>
                <w:b/>
                <w:bCs/>
                <w:color w:val="0F172A"/>
                <w:sz w:val="19"/>
                <w:szCs w:val="19"/>
              </w:rPr>
              <w:t xml:space="preserve">Artículo</w:t>
            </w:r>
          </w:p>
        </w:tc>
      </w:tr>
      <w:tr>
        <w:tc>
          <w:tcPr>
            <w:tcMar>
              <w:top w:type="dxa" w:w="80"/>
              <w:left w:type="dxa" w:w="120"/>
              <w:bottom w:type="dxa" w:w="80"/>
              <w:right w:type="dxa" w:w="120"/>
            </w:tcMar>
          </w:tcPr>
          <w:p>
            <w:pPr>
              <w:spacing w:after="0" w:before="0"/>
            </w:pPr>
            <w:r>
              <w:rPr>
                <w:b w:val="false"/>
                <w:bCs w:val="false"/>
                <w:color w:val="0F172A"/>
                <w:sz w:val="19"/>
                <w:szCs w:val="19"/>
              </w:rPr>
              <w:t xml:space="preserve">05</w:t>
            </w:r>
          </w:p>
        </w:tc>
        <w:tc>
          <w:tcPr>
            <w:tcMar>
              <w:top w:type="dxa" w:w="80"/>
              <w:left w:type="dxa" w:w="120"/>
              <w:bottom w:type="dxa" w:w="80"/>
              <w:right w:type="dxa" w:w="120"/>
            </w:tcMar>
          </w:tcPr>
          <w:p>
            <w:pPr>
              <w:spacing w:after="0" w:before="0"/>
            </w:pPr>
            <w:r>
              <w:rPr>
                <w:b w:val="false"/>
                <w:bCs w:val="false"/>
                <w:color w:val="0F172A"/>
                <w:sz w:val="19"/>
                <w:szCs w:val="19"/>
              </w:rPr>
              <w:t xml:space="preserve">Caja 1</w:t>
            </w:r>
          </w:p>
        </w:tc>
        <w:tc>
          <w:tcPr>
            <w:tcMar>
              <w:top w:type="dxa" w:w="80"/>
              <w:left w:type="dxa" w:w="120"/>
              <w:bottom w:type="dxa" w:w="80"/>
              <w:right w:type="dxa" w:w="120"/>
            </w:tcMar>
          </w:tcPr>
          <w:p>
            <w:pPr>
              <w:spacing w:after="0" w:before="0"/>
            </w:pPr>
            <w:r>
              <w:rPr>
                <w:b w:val="false"/>
                <w:bCs w:val="false"/>
                <w:color w:val="0F172A"/>
                <w:sz w:val="19"/>
                <w:szCs w:val="19"/>
              </w:rPr>
              <w:t xml:space="preserve">Hay dinero y hay una persona trabajando. Se admite, pero es un puesto de trabajo: informar antes y a sus representantes.</w:t>
            </w:r>
          </w:p>
        </w:tc>
        <w:tc>
          <w:tcPr>
            <w:tcMar>
              <w:top w:type="dxa" w:w="80"/>
              <w:left w:type="dxa" w:w="120"/>
              <w:bottom w:type="dxa" w:w="80"/>
              <w:right w:type="dxa" w:w="120"/>
            </w:tcMar>
          </w:tcPr>
          <w:p>
            <w:pPr>
              <w:spacing w:after="0" w:before="0"/>
            </w:pPr>
            <w:r>
              <w:rPr>
                <w:b w:val="false"/>
                <w:bCs w:val="false"/>
                <w:color w:val="0F172A"/>
                <w:sz w:val="19"/>
                <w:szCs w:val="19"/>
              </w:rPr>
              <w:t xml:space="preserve">2 citados abajo</w:t>
            </w:r>
          </w:p>
        </w:tc>
      </w:tr>
      <w:tr>
        <w:tc>
          <w:tcPr>
            <w:tcMar>
              <w:top w:type="dxa" w:w="80"/>
              <w:left w:type="dxa" w:w="120"/>
              <w:bottom w:type="dxa" w:w="80"/>
              <w:right w:type="dxa" w:w="120"/>
            </w:tcMar>
          </w:tcPr>
          <w:p>
            <w:pPr>
              <w:spacing w:after="0" w:before="0"/>
            </w:pPr>
            <w:r>
              <w:rPr>
                <w:b w:val="false"/>
                <w:bCs w:val="false"/>
                <w:color w:val="0F172A"/>
                <w:sz w:val="19"/>
                <w:szCs w:val="19"/>
              </w:rPr>
              <w:t xml:space="preserve">05</w:t>
            </w:r>
          </w:p>
        </w:tc>
        <w:tc>
          <w:tcPr>
            <w:tcMar>
              <w:top w:type="dxa" w:w="80"/>
              <w:left w:type="dxa" w:w="120"/>
              <w:bottom w:type="dxa" w:w="80"/>
              <w:right w:type="dxa" w:w="120"/>
            </w:tcMar>
          </w:tcPr>
          <w:p>
            <w:pPr>
              <w:spacing w:after="0" w:before="0"/>
            </w:pPr>
            <w:r>
              <w:rPr>
                <w:b w:val="false"/>
                <w:bCs w:val="false"/>
                <w:color w:val="0F172A"/>
                <w:sz w:val="19"/>
                <w:szCs w:val="19"/>
              </w:rPr>
              <w:t xml:space="preserve">Caja 1</w:t>
            </w:r>
          </w:p>
        </w:tc>
        <w:tc>
          <w:tcPr>
            <w:tcMar>
              <w:top w:type="dxa" w:w="80"/>
              <w:left w:type="dxa" w:w="120"/>
              <w:bottom w:type="dxa" w:w="80"/>
              <w:right w:type="dxa" w:w="120"/>
            </w:tcMar>
          </w:tcPr>
          <w:p>
            <w:pPr>
              <w:spacing w:after="0" w:before="0"/>
            </w:pPr>
            <w:r>
              <w:rPr>
                <w:b w:val="false"/>
                <w:bCs w:val="false"/>
                <w:color w:val="0F172A"/>
                <w:sz w:val="19"/>
                <w:szCs w:val="19"/>
              </w:rPr>
              <w:t xml:space="preserve">Graba audio en un centro con trabajadores. Solo se admite cuando los riesgos de la actividad lo justifican, y con intervención mínima: si no puedes justificarlo por escrito, apágalo.</w:t>
            </w:r>
          </w:p>
        </w:tc>
        <w:tc>
          <w:tcPr>
            <w:tcMar>
              <w:top w:type="dxa" w:w="80"/>
              <w:left w:type="dxa" w:w="120"/>
              <w:bottom w:type="dxa" w:w="80"/>
              <w:right w:type="dxa" w:w="120"/>
            </w:tcMar>
          </w:tcPr>
          <w:p>
            <w:pPr>
              <w:spacing w:after="0" w:before="0"/>
            </w:pPr>
            <w:r>
              <w:rPr>
                <w:b w:val="false"/>
                <w:bCs w:val="false"/>
                <w:color w:val="0F172A"/>
                <w:sz w:val="19"/>
                <w:szCs w:val="19"/>
              </w:rPr>
              <w:t xml:space="preserve">2 citados abajo</w:t>
            </w:r>
          </w:p>
        </w:tc>
      </w:tr>
      <w:tr>
        <w:tc>
          <w:tcPr>
            <w:tcMar>
              <w:top w:type="dxa" w:w="80"/>
              <w:left w:type="dxa" w:w="120"/>
              <w:bottom w:type="dxa" w:w="80"/>
              <w:right w:type="dxa" w:w="120"/>
            </w:tcMar>
          </w:tcPr>
          <w:p>
            <w:pPr>
              <w:spacing w:after="0" w:before="0"/>
            </w:pPr>
            <w:r>
              <w:rPr>
                <w:b w:val="false"/>
                <w:bCs w:val="false"/>
                <w:color w:val="0F172A"/>
                <w:sz w:val="19"/>
                <w:szCs w:val="19"/>
              </w:rPr>
              <w:t xml:space="preserve">07</w:t>
            </w:r>
          </w:p>
        </w:tc>
        <w:tc>
          <w:tcPr>
            <w:tcMar>
              <w:top w:type="dxa" w:w="80"/>
              <w:left w:type="dxa" w:w="120"/>
              <w:bottom w:type="dxa" w:w="80"/>
              <w:right w:type="dxa" w:w="120"/>
            </w:tcMar>
          </w:tcPr>
          <w:p>
            <w:pPr>
              <w:spacing w:after="0" w:before="0"/>
            </w:pPr>
            <w:r>
              <w:rPr>
                <w:b w:val="false"/>
                <w:bCs w:val="false"/>
                <w:color w:val="0F172A"/>
                <w:sz w:val="19"/>
                <w:szCs w:val="19"/>
              </w:rPr>
              <w:t xml:space="preserve">Pasillo trasero</w:t>
            </w:r>
          </w:p>
        </w:tc>
        <w:tc>
          <w:tcPr>
            <w:tcMar>
              <w:top w:type="dxa" w:w="80"/>
              <w:left w:type="dxa" w:w="120"/>
              <w:bottom w:type="dxa" w:w="80"/>
              <w:right w:type="dxa" w:w="120"/>
            </w:tcMar>
          </w:tcPr>
          <w:p>
            <w:pPr>
              <w:spacing w:after="0" w:before="0"/>
            </w:pPr>
            <w:r>
              <w:rPr>
                <w:b w:val="false"/>
                <w:bCs w:val="false"/>
                <w:color w:val="0F172A"/>
                <w:sz w:val="19"/>
                <w:szCs w:val="19"/>
              </w:rPr>
              <w:t xml:space="preserve">No hay forma de arreglarlo: ni informando, ni con el consentimiento de la plantilla, ni firmando nada. La ley dice «en ningún caso».</w:t>
            </w:r>
          </w:p>
        </w:tc>
        <w:tc>
          <w:tcPr>
            <w:tcMar>
              <w:top w:type="dxa" w:w="80"/>
              <w:left w:type="dxa" w:w="120"/>
              <w:bottom w:type="dxa" w:w="80"/>
              <w:right w:type="dxa" w:w="120"/>
            </w:tcMar>
          </w:tcPr>
          <w:p>
            <w:pPr>
              <w:spacing w:after="0" w:before="0"/>
            </w:pPr>
            <w:r>
              <w:rPr>
                <w:b w:val="false"/>
                <w:bCs w:val="false"/>
                <w:color w:val="0F172A"/>
                <w:sz w:val="19"/>
                <w:szCs w:val="19"/>
              </w:rPr>
              <w:t xml:space="preserve">1 citados abajo</w:t>
            </w:r>
          </w:p>
        </w:tc>
      </w:tr>
      <w:tr>
        <w:tc>
          <w:tcPr>
            <w:tcMar>
              <w:top w:type="dxa" w:w="80"/>
              <w:left w:type="dxa" w:w="120"/>
              <w:bottom w:type="dxa" w:w="80"/>
              <w:right w:type="dxa" w:w="120"/>
            </w:tcMar>
          </w:tcPr>
          <w:p>
            <w:pPr>
              <w:spacing w:after="0" w:before="0"/>
            </w:pPr>
            <w:r>
              <w:rPr>
                <w:b w:val="false"/>
                <w:bCs w:val="false"/>
                <w:color w:val="0F172A"/>
                <w:sz w:val="19"/>
                <w:szCs w:val="19"/>
              </w:rPr>
              <w:t xml:space="preserve">11</w:t>
            </w:r>
          </w:p>
        </w:tc>
        <w:tc>
          <w:tcPr>
            <w:tcMar>
              <w:top w:type="dxa" w:w="80"/>
              <w:left w:type="dxa" w:w="120"/>
              <w:bottom w:type="dxa" w:w="80"/>
              <w:right w:type="dxa" w:w="120"/>
            </w:tcMar>
          </w:tcPr>
          <w:p>
            <w:pPr>
              <w:spacing w:after="0" w:before="0"/>
            </w:pPr>
            <w:r>
              <w:rPr>
                <w:b w:val="false"/>
                <w:bCs w:val="false"/>
                <w:color w:val="0F172A"/>
                <w:sz w:val="19"/>
                <w:szCs w:val="19"/>
              </w:rPr>
              <w:t xml:space="preserve">Almacén, zona donde para el personal</w:t>
            </w:r>
          </w:p>
        </w:tc>
        <w:tc>
          <w:tcPr>
            <w:tcMar>
              <w:top w:type="dxa" w:w="80"/>
              <w:left w:type="dxa" w:w="120"/>
              <w:bottom w:type="dxa" w:w="80"/>
              <w:right w:type="dxa" w:w="120"/>
            </w:tcMar>
          </w:tcPr>
          <w:p>
            <w:pPr>
              <w:spacing w:after="0" w:before="0"/>
            </w:pPr>
            <w:r>
              <w:rPr>
                <w:b w:val="false"/>
                <w:bCs w:val="false"/>
                <w:color w:val="0F172A"/>
                <w:sz w:val="19"/>
                <w:szCs w:val="19"/>
              </w:rPr>
              <w:t xml:space="preserve">No hay forma de arreglarlo: ni informando, ni con el consentimiento de la plantilla, ni firmando nada. La ley dice «en ningún caso».</w:t>
            </w:r>
          </w:p>
        </w:tc>
        <w:tc>
          <w:tcPr>
            <w:tcMar>
              <w:top w:type="dxa" w:w="80"/>
              <w:left w:type="dxa" w:w="120"/>
              <w:bottom w:type="dxa" w:w="80"/>
              <w:right w:type="dxa" w:w="120"/>
            </w:tcMar>
          </w:tcPr>
          <w:p>
            <w:pPr>
              <w:spacing w:after="0" w:before="0"/>
            </w:pPr>
            <w:r>
              <w:rPr>
                <w:b w:val="false"/>
                <w:bCs w:val="false"/>
                <w:color w:val="0F172A"/>
                <w:sz w:val="19"/>
                <w:szCs w:val="19"/>
              </w:rPr>
              <w:t xml:space="preserve">1 citados abajo</w:t>
            </w:r>
          </w:p>
        </w:tc>
      </w:tr>
      <w:tr>
        <w:tc>
          <w:tcPr>
            <w:tcMar>
              <w:top w:type="dxa" w:w="80"/>
              <w:left w:type="dxa" w:w="120"/>
              <w:bottom w:type="dxa" w:w="80"/>
              <w:right w:type="dxa" w:w="120"/>
            </w:tcMar>
          </w:tcPr>
          <w:p>
            <w:pPr>
              <w:spacing w:after="0" w:before="0"/>
            </w:pPr>
            <w:r>
              <w:rPr>
                <w:b w:val="false"/>
                <w:bCs w:val="false"/>
                <w:color w:val="0F172A"/>
                <w:sz w:val="19"/>
                <w:szCs w:val="19"/>
              </w:rPr>
              <w:t xml:space="preserve">02</w:t>
            </w:r>
          </w:p>
        </w:tc>
        <w:tc>
          <w:tcPr>
            <w:tcMar>
              <w:top w:type="dxa" w:w="80"/>
              <w:left w:type="dxa" w:w="120"/>
              <w:bottom w:type="dxa" w:w="80"/>
              <w:right w:type="dxa" w:w="120"/>
            </w:tcMar>
          </w:tcPr>
          <w:p>
            <w:pPr>
              <w:spacing w:after="0" w:before="0"/>
            </w:pPr>
            <w:r>
              <w:rPr>
                <w:b w:val="false"/>
                <w:bCs w:val="false"/>
                <w:color w:val="0F172A"/>
                <w:sz w:val="19"/>
                <w:szCs w:val="19"/>
              </w:rPr>
              <w:t xml:space="preserve">Fachada</w:t>
            </w:r>
          </w:p>
        </w:tc>
        <w:tc>
          <w:tcPr>
            <w:tcMar>
              <w:top w:type="dxa" w:w="80"/>
              <w:left w:type="dxa" w:w="120"/>
              <w:bottom w:type="dxa" w:w="80"/>
              <w:right w:type="dxa" w:w="120"/>
            </w:tcMar>
          </w:tcPr>
          <w:p>
            <w:pPr>
              <w:spacing w:after="0" w:before="0"/>
            </w:pPr>
            <w:r>
              <w:rPr>
                <w:b w:val="false"/>
                <w:bCs w:val="false"/>
                <w:color w:val="0F172A"/>
                <w:sz w:val="19"/>
                <w:szCs w:val="19"/>
              </w:rPr>
              <w:t xml:space="preserve">De la vía pública solo se puede captar lo imprescindible. Recorta el campo o pon máscara de privacidad sobre acera, calzada y fincas vecinas.</w:t>
            </w:r>
          </w:p>
        </w:tc>
        <w:tc>
          <w:tcPr>
            <w:tcMar>
              <w:top w:type="dxa" w:w="80"/>
              <w:left w:type="dxa" w:w="120"/>
              <w:bottom w:type="dxa" w:w="80"/>
              <w:right w:type="dxa" w:w="120"/>
            </w:tcMar>
          </w:tcPr>
          <w:p>
            <w:pPr>
              <w:spacing w:after="0" w:before="0"/>
            </w:pPr>
            <w:r>
              <w:rPr>
                <w:b w:val="false"/>
                <w:bCs w:val="false"/>
                <w:color w:val="0F172A"/>
                <w:sz w:val="19"/>
                <w:szCs w:val="19"/>
              </w:rPr>
              <w:t xml:space="preserve">1 citados abajo</w:t>
            </w:r>
          </w:p>
        </w:tc>
      </w:tr>
      <w:tr>
        <w:tc>
          <w:tcPr>
            <w:tcMar>
              <w:top w:type="dxa" w:w="80"/>
              <w:left w:type="dxa" w:w="120"/>
              <w:bottom w:type="dxa" w:w="80"/>
              <w:right w:type="dxa" w:w="120"/>
            </w:tcMar>
          </w:tcPr>
          <w:p>
            <w:pPr>
              <w:spacing w:after="0" w:before="0"/>
            </w:pPr>
            <w:r>
              <w:rPr>
                <w:b w:val="false"/>
                <w:bCs w:val="false"/>
                <w:color w:val="0F172A"/>
                <w:sz w:val="19"/>
                <w:szCs w:val="19"/>
              </w:rPr>
              <w:t xml:space="preserve">02</w:t>
            </w:r>
          </w:p>
        </w:tc>
        <w:tc>
          <w:tcPr>
            <w:tcMar>
              <w:top w:type="dxa" w:w="80"/>
              <w:left w:type="dxa" w:w="120"/>
              <w:bottom w:type="dxa" w:w="80"/>
              <w:right w:type="dxa" w:w="120"/>
            </w:tcMar>
          </w:tcPr>
          <w:p>
            <w:pPr>
              <w:spacing w:after="0" w:before="0"/>
            </w:pPr>
            <w:r>
              <w:rPr>
                <w:b w:val="false"/>
                <w:bCs w:val="false"/>
                <w:color w:val="0F172A"/>
                <w:sz w:val="19"/>
                <w:szCs w:val="19"/>
              </w:rPr>
              <w:t xml:space="preserve">Fachada</w:t>
            </w:r>
          </w:p>
        </w:tc>
        <w:tc>
          <w:tcPr>
            <w:tcMar>
              <w:top w:type="dxa" w:w="80"/>
              <w:left w:type="dxa" w:w="120"/>
              <w:bottom w:type="dxa" w:w="80"/>
              <w:right w:type="dxa" w:w="120"/>
            </w:tcMar>
          </w:tcPr>
          <w:p>
            <w:pPr>
              <w:spacing w:after="0" w:before="0"/>
            </w:pPr>
            <w:r>
              <w:rPr>
                <w:b w:val="false"/>
                <w:bCs w:val="false"/>
                <w:color w:val="0F172A"/>
                <w:sz w:val="19"/>
                <w:szCs w:val="19"/>
              </w:rPr>
              <w:t xml:space="preserve">Capta vía pública. Solo se puede en la medida imprescindible: recorta el campo o pon máscara de privacidad sobre acera, calzada y ventanas ajenas. Del interior de un domicilio, nunca.</w:t>
            </w:r>
          </w:p>
        </w:tc>
        <w:tc>
          <w:tcPr>
            <w:tcMar>
              <w:top w:type="dxa" w:w="80"/>
              <w:left w:type="dxa" w:w="120"/>
              <w:bottom w:type="dxa" w:w="80"/>
              <w:right w:type="dxa" w:w="120"/>
            </w:tcMar>
          </w:tcPr>
          <w:p>
            <w:pPr>
              <w:spacing w:after="0" w:before="0"/>
            </w:pPr>
            <w:r>
              <w:rPr>
                <w:b w:val="false"/>
                <w:bCs w:val="false"/>
                <w:color w:val="0F172A"/>
                <w:sz w:val="19"/>
                <w:szCs w:val="19"/>
              </w:rPr>
              <w:t xml:space="preserve">2 citados abajo</w:t>
            </w:r>
          </w:p>
        </w:tc>
      </w:tr>
    </w:tbl>
    <w:p>
      <w:pPr>
        <w:spacing w:after="160"/>
      </w:pPr>
    </w:p>
    <w:p>
      <w:pPr>
        <w:pStyle w:val="Heading2"/>
        <w:spacing w:after="140" w:before="320"/>
      </w:pPr>
      <w:r>
        <w:rPr>
          <w:b w:val="false"/>
          <w:bCs w:val="false"/>
        </w:rPr>
        <w:t xml:space="preserve">Lo que está bien y no hay que tocar</w:t>
      </w:r>
    </w:p>
    <w:p>
      <w:pPr>
        <w:spacing w:after="140"/>
      </w:pPr>
      <w:r>
        <w:rPr>
          <w:b w:val="false"/>
          <w:bCs w:val="false"/>
        </w:rPr>
        <w:t xml:space="preserve">01, 03, 04, 06, 08, 09, 10: encuadran zonas donde no hay puesto fijo de descanso ni vía pública de más.</w:t>
      </w:r>
    </w:p>
    <w:p>
      <w:pPr>
        <w:pStyle w:val="Heading2"/>
        <w:spacing w:after="140" w:before="320"/>
      </w:pPr>
      <w:r>
        <w:rPr>
          <w:b w:val="false"/>
          <w:bCs w:val="false"/>
        </w:rPr>
        <w:t xml:space="preserve">Lo que falta en el papel</w:t>
      </w:r>
    </w:p>
    <w:p>
      <w:pPr>
        <w:spacing w:after="60"/>
        <w:ind w:left="340" w:hanging="240"/>
      </w:pPr>
      <w:r>
        <w:rPr>
          <w:b/>
          <w:bCs/>
          <w:color w:val="1D4ED8"/>
        </w:rPr>
        <w:t xml:space="preserve">•	</w:t>
      </w:r>
      <w:r>
        <w:rPr>
          <w:b w:val="false"/>
          <w:bCs w:val="false"/>
        </w:rPr>
        <w:t xml:space="preserve">El cartel está, pero no identifica al responsable ni dice dónde ejercer los derechos. Así no cumple.</w:t>
      </w:r>
    </w:p>
    <w:p>
      <w:pPr>
        <w:spacing w:after="60"/>
        <w:ind w:left="340" w:hanging="240"/>
      </w:pPr>
      <w:r>
        <w:rPr>
          <w:b/>
          <w:bCs/>
          <w:color w:val="1D4ED8"/>
        </w:rPr>
        <w:t xml:space="preserve">•	</w:t>
      </w:r>
      <w:r>
        <w:rPr>
          <w:b w:val="false"/>
          <w:bCs w:val="false"/>
        </w:rPr>
        <w:t xml:space="preserve">Hay 1 acceso sin cartel. Va en todos, no solo en la puerta principal.</w:t>
      </w:r>
    </w:p>
    <w:p>
      <w:pPr>
        <w:spacing w:after="60"/>
        <w:ind w:left="340" w:hanging="240"/>
      </w:pPr>
      <w:r>
        <w:rPr>
          <w:b/>
          <w:bCs/>
          <w:color w:val="1D4ED8"/>
        </w:rPr>
        <w:t xml:space="preserve">•	</w:t>
      </w:r>
      <w:r>
        <w:rPr>
          <w:b w:val="false"/>
          <w:bCs w:val="false"/>
        </w:rPr>
        <w:t xml:space="preserve">No hay registro de actividades de tratamiento para la videovigilancia.</w:t>
      </w:r>
    </w:p>
    <w:p>
      <w:pPr>
        <w:spacing w:after="60"/>
        <w:ind w:left="340" w:hanging="240"/>
      </w:pPr>
      <w:r>
        <w:rPr>
          <w:b/>
          <w:bCs/>
          <w:color w:val="1D4ED8"/>
        </w:rPr>
        <w:t xml:space="preserve">•	</w:t>
      </w:r>
      <w:r>
        <w:rPr>
          <w:b w:val="false"/>
          <w:bCs w:val="false"/>
        </w:rPr>
        <w:t xml:space="preserve">No hay procedimiento para cuando alguien pide una imagen suya, ni para cuando la pide la Policía o un juzgado.</w:t>
      </w:r>
    </w:p>
    <w:p>
      <w:pPr>
        <w:spacing w:after="60"/>
        <w:ind w:left="340" w:hanging="240"/>
      </w:pPr>
      <w:r>
        <w:rPr>
          <w:b/>
          <w:bCs/>
          <w:color w:val="1D4ED8"/>
        </w:rPr>
        <w:t xml:space="preserve">•	</w:t>
      </w:r>
      <w:r>
        <w:rPr>
          <w:b w:val="false"/>
          <w:bCs w:val="false"/>
        </w:rPr>
        <w:t xml:space="preserve">No consta que se informara a la plantilla al instalar las cámaras. Había que hacerlo antes, y por escrito.</w:t>
      </w:r>
    </w:p>
    <w:p>
      <w:pPr>
        <w:pStyle w:val="Heading2"/>
        <w:spacing w:after="140" w:before="320"/>
      </w:pPr>
      <w:r>
        <w:rPr>
          <w:b w:val="false"/>
          <w:bCs w:val="false"/>
        </w:rPr>
        <w:t xml:space="preserve">Conservación</w:t>
      </w:r>
    </w:p>
    <w:p>
      <w:pPr>
        <w:spacing w:after="140"/>
      </w:pPr>
      <w:r>
        <w:rPr>
          <w:b w:val="false"/>
          <w:bCs w:val="false"/>
        </w:rPr>
        <w:t xml:space="preserve">El grabador está a </w:t>
      </w:r>
      <w:r>
        <w:rPr>
          <w:b/>
          <w:bCs/>
        </w:rPr>
        <w:t xml:space="preserve">60 días</w:t>
      </w:r>
      <w:r>
        <w:rPr>
          <w:b w:val="false"/>
          <w:bCs w:val="false"/>
        </w:rPr>
        <w:t xml:space="preserve"> y el máximo es </w:t>
      </w:r>
      <w:r>
        <w:rPr>
          <w:b/>
          <w:bCs/>
        </w:rPr>
        <w:t xml:space="preserve">un mes</w:t>
      </w:r>
      <w:r>
        <w:rPr>
          <w:b w:val="false"/>
          <w:bCs w:val="false"/>
        </w:rPr>
        <w:t xml:space="preserve">. Es el incumplimiento más fácil de ver y el más fácil de arreglar.</w:t>
      </w:r>
    </w:p>
    <w:p>
      <w:pPr>
        <w:pStyle w:val="Heading2"/>
        <w:spacing w:after="140" w:before="320"/>
      </w:pPr>
      <w:r>
        <w:rPr>
          <w:b w:val="false"/>
          <w:bCs w:val="false"/>
        </w:rPr>
        <w:t xml:space="preserve">El orden en que lo haría yo</w:t>
      </w:r>
    </w:p>
    <w:p>
      <w:pPr>
        <w:spacing w:after="60"/>
        <w:ind w:left="340" w:hanging="240"/>
      </w:pPr>
      <w:r>
        <w:rPr>
          <w:b/>
          <w:bCs/>
          <w:color w:val="1D4ED8"/>
        </w:rPr>
        <w:t xml:space="preserve">1. </w:t>
      </w:r>
      <w:r>
        <w:rPr>
          <w:b w:val="false"/>
          <w:bCs w:val="false"/>
        </w:rPr>
        <w:t xml:space="preserve">Bajar la retención del grabador de 60 a 30 días. *(dos clics)*</w:t>
      </w:r>
    </w:p>
    <w:p>
      <w:pPr>
        <w:spacing w:after="60"/>
        <w:ind w:left="340" w:hanging="240"/>
      </w:pPr>
      <w:r>
        <w:rPr>
          <w:b/>
          <w:bCs/>
          <w:color w:val="1D4ED8"/>
        </w:rPr>
        <w:t xml:space="preserve">2. </w:t>
      </w:r>
      <w:r>
        <w:rPr>
          <w:b w:val="false"/>
          <w:bCs w:val="false"/>
        </w:rPr>
        <w:t xml:space="preserve">Apagar el audio de la 05 (Caja 1). *(dos clics)*</w:t>
      </w:r>
    </w:p>
    <w:p>
      <w:pPr>
        <w:spacing w:after="60"/>
        <w:ind w:left="340" w:hanging="240"/>
      </w:pPr>
      <w:r>
        <w:rPr>
          <w:b/>
          <w:bCs/>
          <w:color w:val="1D4ED8"/>
        </w:rPr>
        <w:t xml:space="preserve">3. </w:t>
      </w:r>
      <w:r>
        <w:rPr>
          <w:b w:val="false"/>
          <w:bCs w:val="false"/>
        </w:rPr>
        <w:t xml:space="preserve">Retirar o girar la 07 (Pasillo trasero). *(una visita)*</w:t>
      </w:r>
    </w:p>
    <w:p>
      <w:pPr>
        <w:spacing w:after="60"/>
        <w:ind w:left="340" w:hanging="240"/>
      </w:pPr>
      <w:r>
        <w:rPr>
          <w:b/>
          <w:bCs/>
          <w:color w:val="1D4ED8"/>
        </w:rPr>
        <w:t xml:space="preserve">4. </w:t>
      </w:r>
      <w:r>
        <w:rPr>
          <w:b w:val="false"/>
          <w:bCs w:val="false"/>
        </w:rPr>
        <w:t xml:space="preserve">Retirar o girar la 11 (Almacén, zona donde para el personal). *(una visita)*</w:t>
      </w:r>
    </w:p>
    <w:p>
      <w:pPr>
        <w:spacing w:after="60"/>
        <w:ind w:left="340" w:hanging="240"/>
      </w:pPr>
      <w:r>
        <w:rPr>
          <w:b/>
          <w:bCs/>
          <w:color w:val="1D4ED8"/>
        </w:rPr>
        <w:t xml:space="preserve">5. </w:t>
      </w:r>
      <w:r>
        <w:rPr>
          <w:b w:val="false"/>
          <w:bCs w:val="false"/>
        </w:rPr>
        <w:t xml:space="preserve">Recortar el campo o poner máscara de privacidad en la 02 (Fachada). *(una visita)*</w:t>
      </w:r>
    </w:p>
    <w:p>
      <w:pPr>
        <w:spacing w:after="60"/>
        <w:ind w:left="340" w:hanging="240"/>
      </w:pPr>
      <w:r>
        <w:rPr>
          <w:b/>
          <w:bCs/>
          <w:color w:val="1D4ED8"/>
        </w:rPr>
        <w:t xml:space="preserve">6. </w:t>
      </w:r>
      <w:r>
        <w:rPr>
          <w:b w:val="false"/>
          <w:bCs w:val="false"/>
        </w:rPr>
        <w:t xml:space="preserve">El cartel está, pero no identifica al responsable ni dice dónde ejercer los derechos. Así no cumple. *(papeleo)*</w:t>
      </w:r>
    </w:p>
    <w:p>
      <w:pPr>
        <w:spacing w:after="60"/>
        <w:ind w:left="340" w:hanging="240"/>
      </w:pPr>
      <w:r>
        <w:rPr>
          <w:b/>
          <w:bCs/>
          <w:color w:val="1D4ED8"/>
        </w:rPr>
        <w:t xml:space="preserve">7. </w:t>
      </w:r>
      <w:r>
        <w:rPr>
          <w:b w:val="false"/>
          <w:bCs w:val="false"/>
        </w:rPr>
        <w:t xml:space="preserve">Hay 1 acceso sin cartel. Va en todos, no solo en la puerta principal. *(papeleo)*</w:t>
      </w:r>
    </w:p>
    <w:p>
      <w:pPr>
        <w:spacing w:after="60"/>
        <w:ind w:left="340" w:hanging="240"/>
      </w:pPr>
      <w:r>
        <w:rPr>
          <w:b/>
          <w:bCs/>
          <w:color w:val="1D4ED8"/>
        </w:rPr>
        <w:t xml:space="preserve">8. </w:t>
      </w:r>
      <w:r>
        <w:rPr>
          <w:b w:val="false"/>
          <w:bCs w:val="false"/>
        </w:rPr>
        <w:t xml:space="preserve">No hay registro de actividades de tratamiento para la videovigilancia. *(papeleo)*</w:t>
      </w:r>
    </w:p>
    <w:p>
      <w:pPr>
        <w:spacing w:after="60"/>
        <w:ind w:left="340" w:hanging="240"/>
      </w:pPr>
      <w:r>
        <w:rPr>
          <w:b/>
          <w:bCs/>
          <w:color w:val="1D4ED8"/>
        </w:rPr>
        <w:t xml:space="preserve">9. </w:t>
      </w:r>
      <w:r>
        <w:rPr>
          <w:b w:val="false"/>
          <w:bCs w:val="false"/>
        </w:rPr>
        <w:t xml:space="preserve">No hay procedimiento para cuando alguien pide una imagen suya, ni para cuando la pide la Policía o un juzgado. *(papeleo)*</w:t>
      </w:r>
    </w:p>
    <w:p>
      <w:pPr>
        <w:spacing w:after="60"/>
        <w:ind w:left="340" w:hanging="240"/>
      </w:pPr>
      <w:r>
        <w:rPr>
          <w:b/>
          <w:bCs/>
          <w:color w:val="1D4ED8"/>
        </w:rPr>
        <w:t xml:space="preserve">10. </w:t>
      </w:r>
      <w:r>
        <w:rPr>
          <w:b w:val="false"/>
          <w:bCs w:val="false"/>
        </w:rPr>
        <w:t xml:space="preserve">No consta que se informara a la plantilla al instalar las cámaras. Había que hacerlo antes, y por escrito. *(papeleo)*</w:t>
      </w:r>
    </w:p>
    <w:p>
      <w:pPr>
        <w:pStyle w:val="Heading2"/>
        <w:spacing w:after="140" w:before="320"/>
      </w:pPr>
      <w:r>
        <w:rPr>
          <w:b w:val="false"/>
          <w:bCs w:val="false"/>
        </w:rPr>
        <w:t xml:space="preserve">Una cosa que no es de esta ley</w:t>
      </w:r>
    </w:p>
    <w:p>
      <w:pPr>
        <w:spacing w:after="140"/>
      </w:pPr>
      <w:r>
        <w:rPr>
          <w:b w:val="false"/>
          <w:bCs w:val="false"/>
        </w:rPr>
        <w:t xml:space="preserve">Las cámaras </w:t>
      </w:r>
      <w:r>
        <w:rPr>
          <w:b/>
          <w:bCs/>
        </w:rPr>
        <w:t xml:space="preserve">no están conectadas</w:t>
      </w:r>
      <w:r>
        <w:rPr>
          <w:b w:val="false"/>
          <w:bCs w:val="false"/>
        </w:rPr>
        <w:t xml:space="preserve"> a ninguna central receptora ni a un centro de control ajeno, así que el mantenimiento no es actividad de seguridad privada. Si algún día se conectan, cambia quién puede tocarlas.</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bCs/>
        </w:rPr>
        <w:t xml:space="preserve">2 cámaras hay que quitarlas o girarlas:</w:t>
      </w:r>
      <w:r>
        <w:rPr>
          <w:b w:val="false"/>
          <w:bCs w:val="false"/>
        </w:rPr>
        <w:t xml:space="preserve"> 07, 11. Sobre zonas de descanso la ley dice «en ningún caso», y eso no se arregla con un cartel.</w:t>
      </w:r>
    </w:p>
    <w:p>
      <w:pPr>
        <w:spacing w:after="60"/>
        <w:ind w:left="340" w:hanging="240"/>
      </w:pPr>
      <w:r>
        <w:rPr>
          <w:b/>
          <w:bCs/>
          <w:color w:val="1D4ED8"/>
        </w:rPr>
        <w:t xml:space="preserve">•	</w:t>
      </w:r>
      <w:r>
        <w:rPr>
          <w:b/>
          <w:bCs/>
        </w:rPr>
        <w:t xml:space="preserve">Empieza por lo de dos clics.</w:t>
      </w:r>
      <w:r>
        <w:rPr>
          <w:b w:val="false"/>
          <w:bCs w:val="false"/>
        </w:rPr>
        <w:t xml:space="preserve"> Bajar la retención y apagar micrófonos no cuesta una visita y se lleva por delante los incumplimientos más fáciles de ver desde fuera.</w:t>
      </w:r>
    </w:p>
    <w:p>
      <w:pPr>
        <w:spacing w:after="60"/>
        <w:ind w:left="340" w:hanging="240"/>
      </w:pPr>
      <w:r>
        <w:rPr>
          <w:b/>
          <w:bCs/>
          <w:color w:val="1D4ED8"/>
        </w:rPr>
        <w:t xml:space="preserve">•	</w:t>
      </w:r>
      <w:r>
        <w:rPr>
          <w:b w:val="false"/>
          <w:bCs w:val="false"/>
        </w:rPr>
        <w:t xml:space="preserve">No está conectado a ninguna central, así que el mantenimiento no es actividad de seguridad privada. Si algún día se conecta, cambia quién puede tocarlo.</w:t>
      </w:r>
    </w:p>
    <w:p>
      <w:pPr>
        <w:spacing w:after="60"/>
        <w:ind w:left="340" w:hanging="240"/>
      </w:pPr>
      <w:r>
        <w:rPr>
          <w:b/>
          <w:bCs/>
          <w:color w:val="1D4ED8"/>
        </w:rPr>
        <w:t xml:space="preserve">•	</w:t>
      </w:r>
      <w:r>
        <w:rPr>
          <w:b w:val="false"/>
          <w:bCs w:val="false"/>
        </w:rPr>
        <w:t xml:space="preserve">La revisión sale del plano y de lo que nos has contado que encuadra cada cámara. Si una apunta a otro sitio del que creías, cambia su veredicto: mándanos la foto de lo que ve.</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Ley Orgánica 3/2018, de 5 de diciembre, de Protección de Datos Personales y garantía de los derechos digitales, art. 22.4</w:t>
      </w:r>
    </w:p>
    <w:p>
      <w:pPr>
        <w:spacing w:after="140"/>
      </w:pPr>
      <w:r>
        <w:rPr>
          <w:b w:val="false"/>
          <w:bCs w:val="false"/>
        </w:rPr>
        <w:t xml:space="preserve">El deber de información previsto en el artículo 12 del Reglamento (UE) 2016/679 se entenderá cumplido mediante la colocación de un dispositivo informativo en lugar suficientemente visible identificando, al menos, la existencia del tratamiento, la identidad del responsable y la posibilidad de ejercitar los derechos previstos en los artículos 15 a 22 del Reglamento (UE) 2016/679. También podrá incluirse en el dispositivo informativo un código de conexión o dirección de internet a esta información. En todo caso, el responsable del tratamiento deberá mantener a disposición de los afectados la información a la que se refiere el citado reglamento.</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22.3</w:t>
      </w:r>
    </w:p>
    <w:p>
      <w:pPr>
        <w:spacing w:after="140"/>
      </w:pPr>
      <w:r>
        <w:rPr>
          <w:b w:val="false"/>
          <w:bCs w:val="false"/>
        </w:rPr>
        <w:t xml:space="preserve">Los datos serán suprimidos en el plazo máximo de un mes desde su captación, salvo cuando hubieran de ser conservados para acreditar la comisión de actos que atenten contra la integridad de personas, bienes o instalaciones. En tal caso, las imágenes deberán ser puestas a disposición de la autoridad competente en un plazo máximo de setenta y dos horas desde que se tuviera conocimiento de la existencia de la grabación.</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22.1</w:t>
      </w:r>
    </w:p>
    <w:p>
      <w:pPr>
        <w:spacing w:after="140"/>
      </w:pPr>
      <w:r>
        <w:rPr>
          <w:b w:val="false"/>
          <w:bCs w:val="false"/>
        </w:rPr>
        <w:t xml:space="preserve">Las personas físicas o jurídicas, públicas o privadas, podrán llevar a cabo el tratamiento de imágenes a través de sistemas de cámaras o videocámaras con la finalidad de preservar la seguridad de las personas y bienes, así como de sus instalaciones.</w:t>
      </w:r>
    </w:p>
    <w:p>
      <w:pPr>
        <w:spacing w:after="140"/>
      </w:pPr>
      <w:r>
        <w:rPr>
          <w:b w:val="false"/>
          <w:bCs w:val="false"/>
        </w:rPr>
        <w:t xml:space="preserve">https://www.boe.es/buscar/act.php?id=BOE-A-2018-16673</w:t>
      </w:r>
    </w:p>
    <w:p>
      <w:pPr>
        <w:spacing w:after="140"/>
      </w:pPr>
      <w:r>
        <w:rPr>
          <w:b/>
          <w:bCs/>
        </w:rPr>
        <w:t xml:space="preserve">Reglamento (UE) 2016/679, general de protección de datos, art. 30.1</w:t>
      </w:r>
    </w:p>
    <w:p>
      <w:pPr>
        <w:spacing w:after="140"/>
      </w:pPr>
      <w:r>
        <w:rPr>
          <w:b w:val="false"/>
          <w:bCs w:val="false"/>
        </w:rPr>
        <w:t xml:space="preserve">Cada responsable y, en su caso, su representante llevarán un registro de las actividades de tratamiento efectuadas bajo su responsabilidad. Dicho registro deberá contener toda la información indicada a continuación.</w:t>
      </w:r>
    </w:p>
    <w:p>
      <w:pPr>
        <w:spacing w:after="140"/>
      </w:pPr>
      <w:r>
        <w:rPr>
          <w:b w:val="false"/>
          <w:bCs w:val="false"/>
        </w:rPr>
        <w:t xml:space="preserve">https://www.boe.es/buscar/doc.php?id=DOUE-L-2016-80807</w:t>
      </w:r>
    </w:p>
    <w:p>
      <w:pPr>
        <w:spacing w:after="140"/>
      </w:pPr>
      <w:r>
        <w:rPr>
          <w:b/>
          <w:bCs/>
        </w:rPr>
        <w:t xml:space="preserve">Ley 5/2014, de 4 de abril, de Seguridad Privada, art. 42.5</w:t>
      </w:r>
    </w:p>
    <w:p>
      <w:pPr>
        <w:spacing w:after="140"/>
      </w:pPr>
      <w:r>
        <w:rPr>
          <w:b w:val="false"/>
          <w:bCs w:val="false"/>
        </w:rPr>
        <w:t xml:space="preserve">La monitorización, grabación, tratamiento y registro de imágenes y sonidos por parte de los sistemas de videovigilancia estará sometida a lo previsto en la normativa en materia de protección de datos de carácter personal, y especialmente a los principios de proporcionalidad, idoneidad e intervención mínima.</w:t>
      </w:r>
    </w:p>
    <w:p>
      <w:pPr>
        <w:spacing w:after="140"/>
      </w:pPr>
      <w:r>
        <w:rPr>
          <w:b w:val="false"/>
          <w:bCs w:val="false"/>
        </w:rPr>
        <w:t xml:space="preserve">https://www.boe.es/buscar/act.php?id=BOE-A-2014-3649</w:t>
      </w:r>
    </w:p>
    <w:p>
      <w:pPr>
        <w:spacing w:after="140"/>
      </w:pPr>
      <w:r>
        <w:rPr>
          <w:b/>
          <w:bCs/>
        </w:rPr>
        <w:t xml:space="preserve">Ley 5/2014, de 4 de abril, de Seguridad Privada, art. 42.4</w:t>
      </w:r>
    </w:p>
    <w:p>
      <w:pPr>
        <w:spacing w:after="140"/>
      </w:pPr>
      <w:r>
        <w:rPr>
          <w:b w:val="false"/>
          <w:bCs w:val="false"/>
        </w:rPr>
        <w:t xml:space="preserve">Las grabaciones realizadas por los sistemas de videovigilancia no podrán destinarse a un uso distinto del de su finalidad. Cuando las mismas se encuentren relacionadas con hechos delictivos o que afecten a la seguridad ciudadana, se aportarán, de propia iniciativa o a su requerimiento, a las Fuerzas y Cuerpos de Seguridad competentes.</w:t>
      </w:r>
    </w:p>
    <w:p>
      <w:pPr>
        <w:spacing w:after="140"/>
      </w:pPr>
      <w:r>
        <w:rPr>
          <w:b w:val="false"/>
          <w:bCs w:val="false"/>
        </w:rPr>
        <w:t xml:space="preserve">https://www.boe.es/buscar/act.php?id=BOE-A-2014-3649</w:t>
      </w:r>
    </w:p>
    <w:p>
      <w:pPr>
        <w:spacing w:after="140"/>
      </w:pPr>
      <w:r>
        <w:rPr>
          <w:b/>
          <w:bCs/>
        </w:rPr>
        <w:t xml:space="preserve">Ley Orgánica 3/2018, de 5 de diciembre, de Protección de Datos Personales y garantía de los derechos digitales, art. 89.1</w:t>
      </w:r>
    </w:p>
    <w:p>
      <w:pPr>
        <w:spacing w:after="140"/>
      </w:pPr>
      <w:r>
        <w:rPr>
          <w:b w:val="false"/>
          <w:bCs w:val="false"/>
        </w:rPr>
        <w:t xml:space="preserve">Los empleadores podrán tratar las imágenes obtenidas a través de sistemas de cámaras o videocámaras para el ejercicio de las funciones de control de los trabajadores previstas en el artículo 20.3 del Estatuto de los Trabajadores, siempre que estas funciones se ejerzan dentro de su marco legal y con los límites inherentes al mismo. Los empleadores habrán de informar con carácter previo, y de forma expresa, clara y concisa, a los trabajadores o los empleados públicos y, en su caso, a sus representantes, acerca de esta medida.</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89.3</w:t>
      </w:r>
    </w:p>
    <w:p>
      <w:pPr>
        <w:spacing w:after="140"/>
      </w:pPr>
      <w:r>
        <w:rPr>
          <w:b w:val="false"/>
          <w:bCs w:val="false"/>
        </w:rPr>
        <w:t xml:space="preserve">La utilización de sistemas similares a los referidos en los apartados anteriores para la grabación de sonidos en el lugar de trabajo se admitirá únicamente cuando resulten relevantes los riesgos para la seguridad de las instalaciones, bienes y personas derivados de la actividad que se desarrolle en el centro de trabajo y siempre respetando el principio de proporcionalidad, el de intervención mínima y las garantías previstas en los apartados anteriores.</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89.2</w:t>
      </w:r>
    </w:p>
    <w:p>
      <w:pPr>
        <w:spacing w:after="140"/>
      </w:pPr>
      <w:r>
        <w:rPr>
          <w:b w:val="false"/>
          <w:bCs w:val="false"/>
        </w:rPr>
        <w:t xml:space="preserve">En ningún caso se admitirá la instalación de sistemas de grabación de sonidos ni de videovigilancia en lugares destinados al descanso o esparcimiento de los trabajadores o los empleados públicos, tales como vestuarios, aseos, comedores y análogos.</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22.2</w:t>
      </w:r>
    </w:p>
    <w:p>
      <w:pPr>
        <w:spacing w:after="140"/>
      </w:pPr>
      <w:r>
        <w:rPr>
          <w:b w:val="false"/>
          <w:bCs w:val="false"/>
        </w:rPr>
        <w:t xml:space="preserve">Solo podrán captarse imágenes de la vía pública en la medida en que resulte imprescindible para la finalidad mencionada en el apartado anterior. No obstante, será posible la captación de la vía pública en una extensión superior cuando fuese necesario para garantizar la seguridad de bienes o instalaciones estratégicos o de infraestructuras vinculadas al transporte, sin que en ningún caso pueda suponer la captación de imágenes del interior de un domicilio privado.</w:t>
      </w:r>
    </w:p>
    <w:p>
      <w:pPr>
        <w:spacing w:after="140"/>
      </w:pPr>
      <w:r>
        <w:rPr>
          <w:b w:val="false"/>
          <w:bCs w:val="false"/>
        </w:rPr>
        <w:t xml:space="preserve">https://www.boe.es/buscar/act.php?id=BOE-A-2018-16673</w:t>
      </w:r>
    </w:p>
    <w:p>
      <w:pPr>
        <w:spacing w:after="140"/>
      </w:pPr>
      <w:r>
        <w:rPr>
          <w:b/>
          <w:bCs/>
        </w:rPr>
        <w:t xml:space="preserve">Ley 5/2014, de 4 de abril, de Seguridad Privada, art. 42.2</w:t>
      </w:r>
    </w:p>
    <w:p>
      <w:pPr>
        <w:spacing w:after="140"/>
      </w:pPr>
      <w:r>
        <w:rPr>
          <w:b w:val="false"/>
          <w:bCs w:val="false"/>
        </w:rPr>
        <w:t xml:space="preserve">No se podrán utilizar cámaras o videocámaras con fines de seguridad privada para tomar imágenes y sonidos de vías y espacios públicos o de acceso público salvo en los supuestos y en los términos y condiciones previstos en su normativa específica, previa autorización administrativa por el órgano competente en cada caso. Su utilización en el interior de los domicilios requerirá el consentimiento del titular.</w:t>
      </w:r>
    </w:p>
    <w:p>
      <w:pPr>
        <w:spacing w:after="140"/>
      </w:pPr>
      <w:r>
        <w:rPr>
          <w:b w:val="false"/>
          <w:bCs w:val="false"/>
        </w:rPr>
        <w:t xml:space="preserve">https://www.boe.es/buscar/act.php?id=BOE-A-2014-3649</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Supermercado de barrio con once cámaras puestas hace cuatro años</dc:title>
  <dc:creator>tramitaIA</dc:creator>
  <cp:lastModifiedBy>Un-named</cp:lastModifiedBy>
  <cp:revision>1</cp:revision>
  <dcterms:created xsi:type="dcterms:W3CDTF">2026-09-07T16:57:25.315Z</dcterms:created>
  <dcterms:modified xsi:type="dcterms:W3CDTF">2026-09-07T16:57:25.315Z</dcterms:modified>
</cp:coreProperties>
</file>

<file path=docProps/custom.xml><?xml version="1.0" encoding="utf-8"?>
<Properties xmlns="http://schemas.openxmlformats.org/officeDocument/2006/custom-properties" xmlns:vt="http://schemas.openxmlformats.org/officeDocument/2006/docPropsVTypes"/>
</file>